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13" w:lineRule="auto"/>
        <w:jc w:val="center"/>
        <w:rPr>
          <w:rFonts w:ascii="TypestarPro" w:cs="TypestarPro" w:eastAsia="TypestarPro" w:hAnsi="TypestarPro"/>
          <w:b w:val="1"/>
          <w:sz w:val="21"/>
          <w:szCs w:val="21"/>
        </w:rPr>
      </w:pPr>
      <w:r w:rsidDel="00000000" w:rsidR="00000000" w:rsidRPr="00000000">
        <w:rPr>
          <w:rFonts w:ascii="TypestarPro" w:cs="TypestarPro" w:eastAsia="TypestarPro" w:hAnsi="TypestarPro"/>
          <w:b w:val="1"/>
          <w:sz w:val="21"/>
          <w:szCs w:val="21"/>
          <w:rtl w:val="0"/>
        </w:rPr>
        <w:t xml:space="preserve">Contrato de tratamiento de datos personales</w:t>
      </w:r>
    </w:p>
    <w:p w:rsidR="00000000" w:rsidDel="00000000" w:rsidP="00000000" w:rsidRDefault="00000000" w:rsidRPr="00000000" w14:paraId="00000002">
      <w:pPr>
        <w:spacing w:before="113" w:lineRule="auto"/>
        <w:jc w:val="center"/>
        <w:rPr>
          <w:rFonts w:ascii="TypestarPro" w:cs="TypestarPro" w:eastAsia="TypestarPro" w:hAnsi="TypestarPro"/>
          <w:b w:val="1"/>
          <w:sz w:val="21"/>
          <w:szCs w:val="21"/>
        </w:rPr>
      </w:pPr>
      <w:r w:rsidDel="00000000" w:rsidR="00000000" w:rsidRPr="00000000">
        <w:rPr>
          <w:rtl w:val="0"/>
        </w:rPr>
      </w:r>
    </w:p>
    <w:p w:rsidR="00000000" w:rsidDel="00000000" w:rsidP="00000000" w:rsidRDefault="00000000" w:rsidRPr="00000000" w14:paraId="00000003">
      <w:pPr>
        <w:jc w:val="center"/>
        <w:rPr>
          <w:rFonts w:ascii="TypestarPro" w:cs="TypestarPro" w:eastAsia="TypestarPro" w:hAnsi="TypestarPro"/>
          <w:b w:val="1"/>
          <w:sz w:val="21"/>
          <w:szCs w:val="21"/>
        </w:rPr>
      </w:pPr>
      <w:r w:rsidDel="00000000" w:rsidR="00000000" w:rsidRPr="00000000">
        <w:rPr>
          <w:rFonts w:ascii="TypestarPro" w:cs="TypestarPro" w:eastAsia="TypestarPro" w:hAnsi="TypestarPro"/>
          <w:b w:val="1"/>
          <w:sz w:val="21"/>
          <w:szCs w:val="21"/>
          <w:rtl w:val="0"/>
        </w:rPr>
        <w:t xml:space="preserve">Artículo I</w:t>
      </w:r>
    </w:p>
    <w:p w:rsidR="00000000" w:rsidDel="00000000" w:rsidP="00000000" w:rsidRDefault="00000000" w:rsidRPr="00000000" w14:paraId="00000004">
      <w:pPr>
        <w:spacing w:after="227" w:lineRule="auto"/>
        <w:ind w:left="2880" w:firstLine="720"/>
        <w:jc w:val="left"/>
        <w:rPr>
          <w:rFonts w:ascii="TypestarPro" w:cs="TypestarPro" w:eastAsia="TypestarPro" w:hAnsi="TypestarPro"/>
          <w:i w:val="1"/>
          <w:sz w:val="21"/>
          <w:szCs w:val="21"/>
        </w:rPr>
      </w:pPr>
      <w:r w:rsidDel="00000000" w:rsidR="00000000" w:rsidRPr="00000000">
        <w:rPr>
          <w:rFonts w:ascii="TypestarPro" w:cs="TypestarPro" w:eastAsia="TypestarPro" w:hAnsi="TypestarPro"/>
          <w:i w:val="1"/>
          <w:sz w:val="21"/>
          <w:szCs w:val="21"/>
          <w:rtl w:val="0"/>
        </w:rPr>
        <w:t xml:space="preserve">Partes contratantes</w:t>
      </w:r>
    </w:p>
    <w:p w:rsidR="00000000" w:rsidDel="00000000" w:rsidP="00000000" w:rsidRDefault="00000000" w:rsidRPr="00000000" w14:paraId="00000005">
      <w:pPr>
        <w:widowControl w:val="0"/>
        <w:numPr>
          <w:ilvl w:val="0"/>
          <w:numId w:val="1"/>
        </w:numPr>
        <w:spacing w:after="170" w:lineRule="auto"/>
        <w:ind w:left="567" w:hanging="567"/>
        <w:rPr>
          <w:rFonts w:ascii="TypestarPro" w:cs="TypestarPro" w:eastAsia="TypestarPro" w:hAnsi="TypestarPro"/>
          <w:i w:val="1"/>
          <w:sz w:val="21"/>
          <w:szCs w:val="21"/>
        </w:rPr>
      </w:pPr>
      <w:r w:rsidDel="00000000" w:rsidR="00000000" w:rsidRPr="00000000">
        <w:rPr>
          <w:rFonts w:ascii="TypestarPro" w:cs="TypestarPro" w:eastAsia="TypestarPro" w:hAnsi="TypestarPro"/>
          <w:b w:val="1"/>
          <w:sz w:val="21"/>
          <w:szCs w:val="21"/>
          <w:rtl w:val="0"/>
        </w:rPr>
        <w:t xml:space="preserve">InBáze, z.s.</w:t>
      </w:r>
      <w:r w:rsidDel="00000000" w:rsidR="00000000" w:rsidRPr="00000000">
        <w:rPr>
          <w:rFonts w:ascii="TypestarPro" w:cs="TypestarPro" w:eastAsia="TypestarPro" w:hAnsi="TypestarPro"/>
          <w:sz w:val="21"/>
          <w:szCs w:val="21"/>
          <w:rtl w:val="0"/>
        </w:rPr>
        <w:br w:type="textWrapping"/>
        <w:t xml:space="preserve">Legerova 357/50, 120 00 Praha 2</w:t>
      </w:r>
      <w:r w:rsidDel="00000000" w:rsidR="00000000" w:rsidRPr="00000000">
        <w:rPr>
          <w:rFonts w:ascii="TypestarPro" w:cs="TypestarPro" w:eastAsia="TypestarPro" w:hAnsi="TypestarPro"/>
          <w:color w:val="000000"/>
          <w:sz w:val="21"/>
          <w:szCs w:val="21"/>
          <w:rtl w:val="0"/>
        </w:rPr>
        <w:br w:type="textWrapping"/>
      </w:r>
      <w:r w:rsidDel="00000000" w:rsidR="00000000" w:rsidRPr="00000000">
        <w:rPr>
          <w:rFonts w:ascii="TypestarPro" w:cs="TypestarPro" w:eastAsia="TypestarPro" w:hAnsi="TypestarPro"/>
          <w:sz w:val="21"/>
          <w:szCs w:val="21"/>
          <w:rtl w:val="0"/>
        </w:rPr>
        <w:t xml:space="preserve">Representada por: Ing. Alexandr Zpěvák</w:t>
      </w:r>
      <w:r w:rsidDel="00000000" w:rsidR="00000000" w:rsidRPr="00000000">
        <w:rPr>
          <w:rFonts w:ascii="TypestarPro" w:cs="TypestarPro" w:eastAsia="TypestarPro" w:hAnsi="TypestarPro"/>
          <w:i w:val="1"/>
          <w:color w:val="000000"/>
          <w:sz w:val="21"/>
          <w:szCs w:val="21"/>
          <w:rtl w:val="0"/>
        </w:rPr>
        <w:br w:type="textWrapping"/>
        <w:t xml:space="preserve">Persona de contacto: __________</w:t>
      </w:r>
      <w:r w:rsidDel="00000000" w:rsidR="00000000" w:rsidRPr="00000000">
        <w:rPr>
          <w:rtl w:val="0"/>
        </w:rPr>
      </w:r>
    </w:p>
    <w:p w:rsidR="00000000" w:rsidDel="00000000" w:rsidP="00000000" w:rsidRDefault="00000000" w:rsidRPr="00000000" w14:paraId="00000006">
      <w:pPr>
        <w:widowControl w:val="0"/>
        <w:spacing w:after="170" w:lineRule="auto"/>
        <w:ind w:left="0" w:firstLine="0"/>
        <w:rPr>
          <w:rFonts w:ascii="TypestarPro" w:cs="TypestarPro" w:eastAsia="TypestarPro" w:hAnsi="TypestarPro"/>
          <w:i w:val="1"/>
          <w:sz w:val="21"/>
          <w:szCs w:val="21"/>
        </w:rPr>
      </w:pPr>
      <w:bookmarkStart w:colFirst="0" w:colLast="0" w:name="_heading=h.30j0zll" w:id="0"/>
      <w:bookmarkEnd w:id="0"/>
      <w:r w:rsidDel="00000000" w:rsidR="00000000" w:rsidRPr="00000000">
        <w:rPr>
          <w:rFonts w:ascii="TypestarPro" w:cs="TypestarPro" w:eastAsia="TypestarPro" w:hAnsi="TypestarPro"/>
          <w:i w:val="1"/>
          <w:sz w:val="21"/>
          <w:szCs w:val="21"/>
          <w:rtl w:val="0"/>
        </w:rPr>
        <w:t xml:space="preserve">          (A continuación sólo “InBáze”)</w:t>
      </w:r>
    </w:p>
    <w:p w:rsidR="00000000" w:rsidDel="00000000" w:rsidP="00000000" w:rsidRDefault="00000000" w:rsidRPr="00000000" w14:paraId="00000007">
      <w:pPr>
        <w:widowControl w:val="0"/>
        <w:numPr>
          <w:ilvl w:val="0"/>
          <w:numId w:val="1"/>
        </w:numPr>
        <w:tabs>
          <w:tab w:val="left" w:pos="570"/>
        </w:tabs>
        <w:spacing w:after="20" w:lineRule="auto"/>
        <w:ind w:left="573" w:hanging="585"/>
        <w:rPr>
          <w:rFonts w:ascii="TypestarPro" w:cs="TypestarPro" w:eastAsia="TypestarPro" w:hAnsi="TypestarPro"/>
          <w:i w:val="1"/>
          <w:sz w:val="21"/>
          <w:szCs w:val="21"/>
        </w:rPr>
      </w:pPr>
      <w:r w:rsidDel="00000000" w:rsidR="00000000" w:rsidRPr="00000000">
        <w:rPr>
          <w:rtl w:val="0"/>
        </w:rPr>
      </w:r>
    </w:p>
    <w:p w:rsidR="00000000" w:rsidDel="00000000" w:rsidP="00000000" w:rsidRDefault="00000000" w:rsidRPr="00000000" w14:paraId="00000008">
      <w:pPr>
        <w:widowControl w:val="0"/>
        <w:spacing w:after="20" w:lineRule="auto"/>
        <w:ind w:left="0" w:firstLine="0"/>
        <w:rPr>
          <w:rFonts w:ascii="TypestarPro" w:cs="TypestarPro" w:eastAsia="TypestarPro" w:hAnsi="TypestarPro"/>
          <w:b w:val="1"/>
          <w:sz w:val="21"/>
          <w:szCs w:val="21"/>
        </w:rPr>
      </w:pPr>
      <w:r w:rsidDel="00000000" w:rsidR="00000000" w:rsidRPr="00000000">
        <w:rPr>
          <w:rFonts w:ascii="TypestarPro" w:cs="TypestarPro" w:eastAsia="TypestarPro" w:hAnsi="TypestarPro"/>
          <w:b w:val="1"/>
          <w:sz w:val="21"/>
          <w:szCs w:val="21"/>
          <w:rtl w:val="0"/>
        </w:rPr>
        <w:t xml:space="preserve">          Nombre (s) y Apellidos: _________________________</w:t>
      </w:r>
      <w:r w:rsidDel="00000000" w:rsidR="00000000" w:rsidRPr="00000000">
        <w:rPr>
          <w:rFonts w:ascii="TypestarPro" w:cs="TypestarPro" w:eastAsia="TypestarPro" w:hAnsi="TypestarPro"/>
          <w:sz w:val="21"/>
          <w:szCs w:val="21"/>
          <w:rtl w:val="0"/>
        </w:rPr>
        <w:br w:type="textWrapping"/>
        <w:t xml:space="preserve">   </w:t>
      </w:r>
      <w:r w:rsidDel="00000000" w:rsidR="00000000" w:rsidRPr="00000000">
        <w:rPr>
          <w:rFonts w:ascii="TypestarPro" w:cs="TypestarPro" w:eastAsia="TypestarPro" w:hAnsi="TypestarPro"/>
          <w:b w:val="1"/>
          <w:sz w:val="21"/>
          <w:szCs w:val="21"/>
          <w:rtl w:val="0"/>
        </w:rPr>
        <w:t xml:space="preserve">       Fecha de nacimiento:</w:t>
      </w:r>
      <w:r w:rsidDel="00000000" w:rsidR="00000000" w:rsidRPr="00000000">
        <w:rPr>
          <w:rFonts w:ascii="TypestarPro" w:cs="TypestarPro" w:eastAsia="TypestarPro" w:hAnsi="TypestarPro"/>
          <w:sz w:val="21"/>
          <w:szCs w:val="21"/>
          <w:rtl w:val="0"/>
        </w:rPr>
        <w:t xml:space="preserve"> _________________</w:t>
        <w:br w:type="textWrapping"/>
      </w:r>
      <w:r w:rsidDel="00000000" w:rsidR="00000000" w:rsidRPr="00000000">
        <w:rPr>
          <w:rFonts w:ascii="TypestarPro" w:cs="TypestarPro" w:eastAsia="TypestarPro" w:hAnsi="TypestarPro"/>
          <w:b w:val="1"/>
          <w:sz w:val="21"/>
          <w:szCs w:val="21"/>
          <w:rtl w:val="0"/>
        </w:rPr>
        <w:t xml:space="preserve">          Dirección permanente:______________________________________</w:t>
      </w:r>
    </w:p>
    <w:p w:rsidR="00000000" w:rsidDel="00000000" w:rsidP="00000000" w:rsidRDefault="00000000" w:rsidRPr="00000000" w14:paraId="00000009">
      <w:pPr>
        <w:widowControl w:val="0"/>
        <w:spacing w:after="20" w:lineRule="auto"/>
        <w:ind w:left="573" w:firstLine="0"/>
        <w:rPr>
          <w:rFonts w:ascii="TypestarPro" w:cs="TypestarPro" w:eastAsia="TypestarPro" w:hAnsi="TypestarPro"/>
          <w:b w:val="1"/>
          <w:sz w:val="21"/>
          <w:szCs w:val="21"/>
        </w:rPr>
      </w:pPr>
      <w:r w:rsidDel="00000000" w:rsidR="00000000" w:rsidRPr="00000000">
        <w:rPr>
          <w:rFonts w:ascii="TypestarPro" w:cs="TypestarPro" w:eastAsia="TypestarPro" w:hAnsi="TypestarPro"/>
          <w:b w:val="1"/>
          <w:sz w:val="21"/>
          <w:szCs w:val="21"/>
          <w:rtl w:val="0"/>
        </w:rPr>
        <w:t xml:space="preserve">Dirección de correspondencia (si no coincide con la permanente)</w:t>
      </w:r>
      <w:r w:rsidDel="00000000" w:rsidR="00000000" w:rsidRPr="00000000">
        <w:rPr>
          <w:rFonts w:ascii="TypestarPro" w:cs="TypestarPro" w:eastAsia="TypestarPro" w:hAnsi="TypestarPro"/>
          <w:sz w:val="21"/>
          <w:szCs w:val="21"/>
          <w:rtl w:val="0"/>
        </w:rPr>
        <w:t xml:space="preserve">:_________________</w:t>
      </w:r>
      <w:r w:rsidDel="00000000" w:rsidR="00000000" w:rsidRPr="00000000">
        <w:rPr>
          <w:rtl w:val="0"/>
        </w:rPr>
      </w:r>
    </w:p>
    <w:p w:rsidR="00000000" w:rsidDel="00000000" w:rsidP="00000000" w:rsidRDefault="00000000" w:rsidRPr="00000000" w14:paraId="0000000A">
      <w:pPr>
        <w:widowControl w:val="0"/>
        <w:spacing w:after="20" w:lineRule="auto"/>
        <w:ind w:left="573" w:firstLine="0"/>
        <w:rPr>
          <w:rFonts w:ascii="TypestarPro" w:cs="TypestarPro" w:eastAsia="TypestarPro" w:hAnsi="TypestarPro"/>
          <w:b w:val="1"/>
          <w:sz w:val="21"/>
          <w:szCs w:val="21"/>
        </w:rPr>
      </w:pPr>
      <w:r w:rsidDel="00000000" w:rsidR="00000000" w:rsidRPr="00000000">
        <w:rPr>
          <w:rFonts w:ascii="TypestarPro" w:cs="TypestarPro" w:eastAsia="TypestarPro" w:hAnsi="TypestarPro"/>
          <w:b w:val="1"/>
          <w:sz w:val="21"/>
          <w:szCs w:val="21"/>
          <w:rtl w:val="0"/>
        </w:rPr>
        <w:t xml:space="preserve">Teléfono:_______________________________________</w:t>
      </w:r>
    </w:p>
    <w:p w:rsidR="00000000" w:rsidDel="00000000" w:rsidP="00000000" w:rsidRDefault="00000000" w:rsidRPr="00000000" w14:paraId="0000000B">
      <w:pPr>
        <w:widowControl w:val="0"/>
        <w:spacing w:after="20" w:lineRule="auto"/>
        <w:ind w:left="573" w:firstLine="0"/>
        <w:rPr>
          <w:rFonts w:ascii="TypestarPro" w:cs="TypestarPro" w:eastAsia="TypestarPro" w:hAnsi="TypestarPro"/>
          <w:b w:val="1"/>
          <w:sz w:val="21"/>
          <w:szCs w:val="21"/>
        </w:rPr>
      </w:pPr>
      <w:r w:rsidDel="00000000" w:rsidR="00000000" w:rsidRPr="00000000">
        <w:rPr>
          <w:rFonts w:ascii="TypestarPro" w:cs="TypestarPro" w:eastAsia="TypestarPro" w:hAnsi="TypestarPro"/>
          <w:b w:val="1"/>
          <w:sz w:val="21"/>
          <w:szCs w:val="21"/>
          <w:rtl w:val="0"/>
        </w:rPr>
        <w:t xml:space="preserve">E-mail:</w:t>
      </w:r>
      <w:r w:rsidDel="00000000" w:rsidR="00000000" w:rsidRPr="00000000">
        <w:rPr>
          <w:rFonts w:ascii="TypestarPro" w:cs="TypestarPro" w:eastAsia="TypestarPro" w:hAnsi="TypestarPro"/>
          <w:sz w:val="21"/>
          <w:szCs w:val="21"/>
          <w:rtl w:val="0"/>
        </w:rPr>
        <w:t xml:space="preserve">_______________________________________</w:t>
      </w:r>
      <w:r w:rsidDel="00000000" w:rsidR="00000000" w:rsidRPr="00000000">
        <w:rPr>
          <w:rtl w:val="0"/>
        </w:rPr>
      </w:r>
    </w:p>
    <w:p w:rsidR="00000000" w:rsidDel="00000000" w:rsidP="00000000" w:rsidRDefault="00000000" w:rsidRPr="00000000" w14:paraId="0000000C">
      <w:pPr>
        <w:widowControl w:val="0"/>
        <w:spacing w:after="20" w:lineRule="auto"/>
        <w:ind w:left="573" w:firstLine="0"/>
        <w:rPr>
          <w:rFonts w:ascii="TypestarPro" w:cs="TypestarPro" w:eastAsia="TypestarPro" w:hAnsi="TypestarPro"/>
          <w:b w:val="1"/>
          <w:i w:val="1"/>
          <w:sz w:val="21"/>
          <w:szCs w:val="21"/>
        </w:rPr>
      </w:pPr>
      <w:r w:rsidDel="00000000" w:rsidR="00000000" w:rsidRPr="00000000">
        <w:rPr>
          <w:rtl w:val="0"/>
        </w:rPr>
      </w:r>
    </w:p>
    <w:p w:rsidR="00000000" w:rsidDel="00000000" w:rsidP="00000000" w:rsidRDefault="00000000" w:rsidRPr="00000000" w14:paraId="0000000D">
      <w:pPr>
        <w:widowControl w:val="0"/>
        <w:spacing w:after="20" w:lineRule="auto"/>
        <w:ind w:left="573" w:firstLine="0"/>
        <w:rPr>
          <w:rFonts w:ascii="TypestarPro" w:cs="TypestarPro" w:eastAsia="TypestarPro" w:hAnsi="TypestarPro"/>
          <w:b w:val="1"/>
          <w:i w:val="1"/>
          <w:sz w:val="21"/>
          <w:szCs w:val="21"/>
        </w:rPr>
      </w:pPr>
      <w:r w:rsidDel="00000000" w:rsidR="00000000" w:rsidRPr="00000000">
        <w:rPr>
          <w:rFonts w:ascii="TypestarPro" w:cs="TypestarPro" w:eastAsia="TypestarPro" w:hAnsi="TypestarPro"/>
          <w:i w:val="1"/>
          <w:sz w:val="21"/>
          <w:szCs w:val="21"/>
          <w:rtl w:val="0"/>
        </w:rPr>
        <w:t xml:space="preserve">(a continuación sólo “usuario/a”)</w:t>
      </w:r>
      <w:r w:rsidDel="00000000" w:rsidR="00000000" w:rsidRPr="00000000">
        <w:rPr>
          <w:rtl w:val="0"/>
        </w:rPr>
      </w:r>
    </w:p>
    <w:p w:rsidR="00000000" w:rsidDel="00000000" w:rsidP="00000000" w:rsidRDefault="00000000" w:rsidRPr="00000000" w14:paraId="0000000E">
      <w:pPr>
        <w:jc w:val="left"/>
        <w:rPr>
          <w:rFonts w:ascii="TypestarPro" w:cs="TypestarPro" w:eastAsia="TypestarPro" w:hAnsi="TypestarPro"/>
          <w:b w:val="1"/>
          <w:sz w:val="21"/>
          <w:szCs w:val="21"/>
        </w:rPr>
      </w:pPr>
      <w:r w:rsidDel="00000000" w:rsidR="00000000" w:rsidRPr="00000000">
        <w:rPr>
          <w:rFonts w:ascii="TypestarPro" w:cs="TypestarPro" w:eastAsia="TypestarPro" w:hAnsi="TypestarPro"/>
          <w:b w:val="1"/>
          <w:sz w:val="21"/>
          <w:szCs w:val="21"/>
          <w:rtl w:val="0"/>
        </w:rPr>
        <w:t xml:space="preserve">  </w:t>
        <w:tab/>
        <w:tab/>
        <w:tab/>
        <w:tab/>
        <w:tab/>
      </w:r>
    </w:p>
    <w:p w:rsidR="00000000" w:rsidDel="00000000" w:rsidP="00000000" w:rsidRDefault="00000000" w:rsidRPr="00000000" w14:paraId="0000000F">
      <w:pPr>
        <w:ind w:left="2880" w:firstLine="720"/>
        <w:jc w:val="left"/>
        <w:rPr>
          <w:rFonts w:ascii="TypestarPro" w:cs="TypestarPro" w:eastAsia="TypestarPro" w:hAnsi="TypestarPro"/>
          <w:b w:val="1"/>
          <w:sz w:val="21"/>
          <w:szCs w:val="21"/>
        </w:rPr>
      </w:pPr>
      <w:r w:rsidDel="00000000" w:rsidR="00000000" w:rsidRPr="00000000">
        <w:rPr>
          <w:rFonts w:ascii="TypestarPro" w:cs="TypestarPro" w:eastAsia="TypestarPro" w:hAnsi="TypestarPro"/>
          <w:b w:val="1"/>
          <w:sz w:val="21"/>
          <w:szCs w:val="21"/>
          <w:rtl w:val="0"/>
        </w:rPr>
        <w:t xml:space="preserve">Artículo II</w:t>
      </w:r>
    </w:p>
    <w:p w:rsidR="00000000" w:rsidDel="00000000" w:rsidP="00000000" w:rsidRDefault="00000000" w:rsidRPr="00000000" w14:paraId="00000010">
      <w:pPr>
        <w:spacing w:after="227" w:lineRule="auto"/>
        <w:ind w:left="2160" w:firstLine="720"/>
        <w:jc w:val="left"/>
        <w:rPr>
          <w:rFonts w:ascii="TypestarPro" w:cs="TypestarPro" w:eastAsia="TypestarPro" w:hAnsi="TypestarPro"/>
          <w:i w:val="1"/>
          <w:sz w:val="21"/>
          <w:szCs w:val="21"/>
        </w:rPr>
      </w:pPr>
      <w:r w:rsidDel="00000000" w:rsidR="00000000" w:rsidRPr="00000000">
        <w:rPr>
          <w:rFonts w:ascii="TypestarPro" w:cs="TypestarPro" w:eastAsia="TypestarPro" w:hAnsi="TypestarPro"/>
          <w:i w:val="1"/>
          <w:sz w:val="21"/>
          <w:szCs w:val="21"/>
          <w:rtl w:val="0"/>
        </w:rPr>
        <w:t xml:space="preserve">Objeto del contrato</w:t>
      </w:r>
    </w:p>
    <w:p w:rsidR="00000000" w:rsidDel="00000000" w:rsidP="00000000" w:rsidRDefault="00000000" w:rsidRPr="00000000" w14:paraId="00000011">
      <w:pPr>
        <w:tabs>
          <w:tab w:val="left" w:pos="540"/>
        </w:tabs>
        <w:spacing w:after="113" w:lineRule="auto"/>
        <w:ind w:left="555" w:hanging="555"/>
        <w:jc w:val="both"/>
        <w:rPr>
          <w:rFonts w:ascii="TypestarPro" w:cs="TypestarPro" w:eastAsia="TypestarPro" w:hAnsi="TypestarPro"/>
          <w:sz w:val="21"/>
          <w:szCs w:val="21"/>
        </w:rPr>
      </w:pPr>
      <w:r w:rsidDel="00000000" w:rsidR="00000000" w:rsidRPr="00000000">
        <w:rPr>
          <w:rFonts w:ascii="TypestarPro" w:cs="TypestarPro" w:eastAsia="TypestarPro" w:hAnsi="TypestarPro"/>
          <w:sz w:val="21"/>
          <w:szCs w:val="21"/>
          <w:rtl w:val="0"/>
        </w:rPr>
        <w:t xml:space="preserve">2.1</w:t>
        <w:tab/>
        <w:t xml:space="preserve">El objeto del contrato es la modificación de los derechos y deberes durante el tratamiento de los datos personales de InBáze como administrador de los datos personales de la parte uno y del usuario o de la usuaria como sujeto de los datos de la parte dos.</w:t>
      </w:r>
    </w:p>
    <w:p w:rsidR="00000000" w:rsidDel="00000000" w:rsidP="00000000" w:rsidRDefault="00000000" w:rsidRPr="00000000" w14:paraId="00000012">
      <w:pPr>
        <w:tabs>
          <w:tab w:val="left" w:pos="540"/>
        </w:tabs>
        <w:spacing w:after="113" w:lineRule="auto"/>
        <w:ind w:left="555" w:hanging="555"/>
        <w:jc w:val="both"/>
        <w:rPr>
          <w:rFonts w:ascii="TypestarPro" w:cs="TypestarPro" w:eastAsia="TypestarPro" w:hAnsi="TypestarPro"/>
          <w:color w:val="000000"/>
          <w:sz w:val="21"/>
          <w:szCs w:val="21"/>
        </w:rPr>
      </w:pPr>
      <w:r w:rsidDel="00000000" w:rsidR="00000000" w:rsidRPr="00000000">
        <w:rPr>
          <w:rFonts w:ascii="TypestarPro" w:cs="TypestarPro" w:eastAsia="TypestarPro" w:hAnsi="TypestarPro"/>
          <w:sz w:val="21"/>
          <w:szCs w:val="21"/>
          <w:rtl w:val="0"/>
        </w:rPr>
        <w:t xml:space="preserve">2.2  </w:t>
      </w:r>
      <w:r w:rsidDel="00000000" w:rsidR="00000000" w:rsidRPr="00000000">
        <w:rPr>
          <w:rFonts w:ascii="TypestarPro" w:cs="TypestarPro" w:eastAsia="TypestarPro" w:hAnsi="TypestarPro"/>
          <w:color w:val="000000"/>
          <w:sz w:val="21"/>
          <w:szCs w:val="21"/>
          <w:rtl w:val="0"/>
        </w:rPr>
        <w:t xml:space="preserve">InBáze es una </w:t>
      </w:r>
      <w:r w:rsidDel="00000000" w:rsidR="00000000" w:rsidRPr="00000000">
        <w:rPr>
          <w:rFonts w:ascii="TypestarPro" w:cs="TypestarPro" w:eastAsia="TypestarPro" w:hAnsi="TypestarPro"/>
          <w:sz w:val="21"/>
          <w:szCs w:val="21"/>
          <w:rtl w:val="0"/>
        </w:rPr>
        <w:t xml:space="preserve">asociación, cuyo cometido es ayudar a las personas migrantes y a sus familias para establecer una vida en Rep. Checa</w:t>
      </w:r>
      <w:r w:rsidDel="00000000" w:rsidR="00000000" w:rsidRPr="00000000">
        <w:rPr>
          <w:rFonts w:ascii="Arial" w:cs="Arial" w:eastAsia="Arial" w:hAnsi="Arial"/>
          <w:color w:val="4d5156"/>
          <w:sz w:val="21"/>
          <w:szCs w:val="21"/>
          <w:highlight w:val="white"/>
          <w:rtl w:val="0"/>
        </w:rPr>
        <w:t xml:space="preserve">;</w:t>
      </w:r>
      <w:r w:rsidDel="00000000" w:rsidR="00000000" w:rsidRPr="00000000">
        <w:rPr>
          <w:rFonts w:ascii="TypestarPro" w:cs="TypestarPro" w:eastAsia="TypestarPro" w:hAnsi="TypestarPro"/>
          <w:sz w:val="21"/>
          <w:szCs w:val="21"/>
          <w:rtl w:val="0"/>
        </w:rPr>
        <w:t xml:space="preserve"> crear un espacio seguro y abierto para el conocimiento y entendimiento mutuo entre la ciudadanía checa y las personas de otras nacionalidades y culturas. El usuario o la usuaria es la persona que participa en los programas realizados por InBáze.</w:t>
      </w:r>
      <w:r w:rsidDel="00000000" w:rsidR="00000000" w:rsidRPr="00000000">
        <w:rPr>
          <w:rtl w:val="0"/>
        </w:rPr>
      </w:r>
    </w:p>
    <w:p w:rsidR="00000000" w:rsidDel="00000000" w:rsidP="00000000" w:rsidRDefault="00000000" w:rsidRPr="00000000" w14:paraId="00000013">
      <w:pPr>
        <w:spacing w:before="113" w:lineRule="auto"/>
        <w:jc w:val="center"/>
        <w:rPr>
          <w:rFonts w:ascii="TypestarPro" w:cs="TypestarPro" w:eastAsia="TypestarPro" w:hAnsi="TypestarPro"/>
          <w:b w:val="1"/>
          <w:sz w:val="21"/>
          <w:szCs w:val="21"/>
        </w:rPr>
      </w:pPr>
      <w:r w:rsidDel="00000000" w:rsidR="00000000" w:rsidRPr="00000000">
        <w:rPr>
          <w:rtl w:val="0"/>
        </w:rPr>
      </w:r>
    </w:p>
    <w:p w:rsidR="00000000" w:rsidDel="00000000" w:rsidP="00000000" w:rsidRDefault="00000000" w:rsidRPr="00000000" w14:paraId="00000014">
      <w:pPr>
        <w:jc w:val="center"/>
        <w:rPr>
          <w:rFonts w:ascii="TypestarPro" w:cs="TypestarPro" w:eastAsia="TypestarPro" w:hAnsi="TypestarPro"/>
          <w:b w:val="1"/>
          <w:sz w:val="21"/>
          <w:szCs w:val="21"/>
        </w:rPr>
      </w:pPr>
      <w:r w:rsidDel="00000000" w:rsidR="00000000" w:rsidRPr="00000000">
        <w:rPr>
          <w:rFonts w:ascii="TypestarPro" w:cs="TypestarPro" w:eastAsia="TypestarPro" w:hAnsi="TypestarPro"/>
          <w:b w:val="1"/>
          <w:sz w:val="21"/>
          <w:szCs w:val="21"/>
          <w:rtl w:val="0"/>
        </w:rPr>
        <w:t xml:space="preserve">Artículo III</w:t>
      </w:r>
    </w:p>
    <w:p w:rsidR="00000000" w:rsidDel="00000000" w:rsidP="00000000" w:rsidRDefault="00000000" w:rsidRPr="00000000" w14:paraId="00000015">
      <w:pPr>
        <w:spacing w:after="227" w:lineRule="auto"/>
        <w:jc w:val="center"/>
        <w:rPr>
          <w:rFonts w:ascii="TypestarPro" w:cs="TypestarPro" w:eastAsia="TypestarPro" w:hAnsi="TypestarPro"/>
          <w:i w:val="1"/>
          <w:sz w:val="21"/>
          <w:szCs w:val="21"/>
        </w:rPr>
      </w:pPr>
      <w:r w:rsidDel="00000000" w:rsidR="00000000" w:rsidRPr="00000000">
        <w:rPr>
          <w:rFonts w:ascii="TypestarPro" w:cs="TypestarPro" w:eastAsia="TypestarPro" w:hAnsi="TypestarPro"/>
          <w:i w:val="1"/>
          <w:sz w:val="21"/>
          <w:szCs w:val="21"/>
          <w:rtl w:val="0"/>
        </w:rPr>
        <w:t xml:space="preserve">Tratamiento de los datos personales</w:t>
      </w:r>
    </w:p>
    <w:p w:rsidR="00000000" w:rsidDel="00000000" w:rsidP="00000000" w:rsidRDefault="00000000" w:rsidRPr="00000000" w14:paraId="00000016">
      <w:pPr>
        <w:spacing w:before="113" w:lineRule="auto"/>
        <w:jc w:val="center"/>
        <w:rPr>
          <w:rFonts w:ascii="TypestarPro" w:cs="TypestarPro" w:eastAsia="TypestarPro" w:hAnsi="TypestarPro"/>
          <w:sz w:val="21"/>
          <w:szCs w:val="21"/>
        </w:rPr>
      </w:pPr>
      <w:r w:rsidDel="00000000" w:rsidR="00000000" w:rsidRPr="00000000">
        <w:rPr>
          <w:rtl w:val="0"/>
        </w:rPr>
      </w:r>
    </w:p>
    <w:p w:rsidR="00000000" w:rsidDel="00000000" w:rsidP="00000000" w:rsidRDefault="00000000" w:rsidRPr="00000000" w14:paraId="00000017">
      <w:pPr>
        <w:spacing w:after="113" w:lineRule="auto"/>
        <w:ind w:left="567" w:hanging="567"/>
        <w:jc w:val="both"/>
        <w:rPr>
          <w:rFonts w:ascii="TypestarPro" w:cs="TypestarPro" w:eastAsia="TypestarPro" w:hAnsi="TypestarPro"/>
          <w:sz w:val="21"/>
          <w:szCs w:val="21"/>
        </w:rPr>
      </w:pPr>
      <w:r w:rsidDel="00000000" w:rsidR="00000000" w:rsidRPr="00000000">
        <w:rPr>
          <w:rFonts w:ascii="TypestarPro" w:cs="TypestarPro" w:eastAsia="TypestarPro" w:hAnsi="TypestarPro"/>
          <w:b w:val="1"/>
          <w:sz w:val="21"/>
          <w:szCs w:val="21"/>
          <w:rtl w:val="0"/>
        </w:rPr>
        <w:t xml:space="preserve">3.1</w:t>
        <w:tab/>
      </w:r>
      <w:r w:rsidDel="00000000" w:rsidR="00000000" w:rsidRPr="00000000">
        <w:rPr>
          <w:rFonts w:ascii="TypestarPro" w:cs="TypestarPro" w:eastAsia="TypestarPro" w:hAnsi="TypestarPro"/>
          <w:sz w:val="21"/>
          <w:szCs w:val="21"/>
          <w:rtl w:val="0"/>
        </w:rPr>
        <w:t xml:space="preserve">InBáze es responsable de conservar la intimidad e integridad de los datos personales proporcionados en base al cumplimiento de sus deberes legales y contractuales y de cumplir todos sus deberes según el Reglamento (UE) 2016/679 (a continuación sólo “RGPD”).</w:t>
      </w:r>
    </w:p>
    <w:p w:rsidR="00000000" w:rsidDel="00000000" w:rsidP="00000000" w:rsidRDefault="00000000" w:rsidRPr="00000000" w14:paraId="00000018">
      <w:pPr>
        <w:spacing w:after="113" w:lineRule="auto"/>
        <w:ind w:left="555" w:hanging="555"/>
        <w:jc w:val="both"/>
        <w:rPr>
          <w:rFonts w:ascii="TypestarPro" w:cs="TypestarPro" w:eastAsia="TypestarPro" w:hAnsi="TypestarPro"/>
          <w:sz w:val="21"/>
          <w:szCs w:val="21"/>
        </w:rPr>
      </w:pPr>
      <w:r w:rsidDel="00000000" w:rsidR="00000000" w:rsidRPr="00000000">
        <w:rPr>
          <w:rFonts w:ascii="TypestarPro" w:cs="TypestarPro" w:eastAsia="TypestarPro" w:hAnsi="TypestarPro"/>
          <w:b w:val="1"/>
          <w:sz w:val="21"/>
          <w:szCs w:val="21"/>
          <w:rtl w:val="0"/>
        </w:rPr>
        <w:t xml:space="preserve">3.2.</w:t>
      </w:r>
      <w:r w:rsidDel="00000000" w:rsidR="00000000" w:rsidRPr="00000000">
        <w:rPr>
          <w:rFonts w:ascii="TypestarPro" w:cs="TypestarPro" w:eastAsia="TypestarPro" w:hAnsi="TypestarPro"/>
          <w:sz w:val="21"/>
          <w:szCs w:val="21"/>
          <w:rtl w:val="0"/>
        </w:rPr>
        <w:tab/>
        <w:t xml:space="preserve">El objetivo del tratamiento de los datos personales es el cumplimiento de los deberes legales y contractuales de InBáze. </w:t>
      </w:r>
    </w:p>
    <w:p w:rsidR="00000000" w:rsidDel="00000000" w:rsidP="00000000" w:rsidRDefault="00000000" w:rsidRPr="00000000" w14:paraId="00000019">
      <w:pPr>
        <w:spacing w:after="113" w:lineRule="auto"/>
        <w:ind w:left="555" w:hanging="555"/>
        <w:jc w:val="both"/>
        <w:rPr>
          <w:rFonts w:ascii="TypestarPro" w:cs="TypestarPro" w:eastAsia="TypestarPro" w:hAnsi="TypestarPro"/>
          <w:sz w:val="21"/>
          <w:szCs w:val="21"/>
        </w:rPr>
      </w:pPr>
      <w:r w:rsidDel="00000000" w:rsidR="00000000" w:rsidRPr="00000000">
        <w:rPr>
          <w:rFonts w:ascii="TypestarPro" w:cs="TypestarPro" w:eastAsia="TypestarPro" w:hAnsi="TypestarPro"/>
          <w:b w:val="1"/>
          <w:sz w:val="21"/>
          <w:szCs w:val="21"/>
          <w:rtl w:val="0"/>
        </w:rPr>
        <w:t xml:space="preserve">3.3.</w:t>
      </w:r>
      <w:r w:rsidDel="00000000" w:rsidR="00000000" w:rsidRPr="00000000">
        <w:rPr>
          <w:rFonts w:ascii="TypestarPro" w:cs="TypestarPro" w:eastAsia="TypestarPro" w:hAnsi="TypestarPro"/>
          <w:sz w:val="21"/>
          <w:szCs w:val="21"/>
          <w:rtl w:val="0"/>
        </w:rPr>
        <w:tab/>
        <w:t xml:space="preserve">El Usuario o la Usuaria da su consentimiento a InBáze para que realice el tratamiento de todos los datos personales que le han sido proporcionados. InBáze está autorizada a utilizar las grabaciones visuales, auditivas o audiovisuales (por ejemplo, fotografías) y el resto de datos personales proporcionados por el usuario o la usuaria, así como los datos facilitados durante el transcurso de las actividades (incluidas las actividades en línea), como prueba de la realización de dichas actividades ante los garantes del proyecto.</w:t>
      </w:r>
    </w:p>
    <w:p w:rsidR="00000000" w:rsidDel="00000000" w:rsidP="00000000" w:rsidRDefault="00000000" w:rsidRPr="00000000" w14:paraId="0000001A">
      <w:pPr>
        <w:spacing w:after="113" w:lineRule="auto"/>
        <w:ind w:left="555" w:hanging="555"/>
        <w:jc w:val="both"/>
        <w:rPr>
          <w:rFonts w:ascii="TypestarPro" w:cs="TypestarPro" w:eastAsia="TypestarPro" w:hAnsi="TypestarPro"/>
          <w:sz w:val="21"/>
          <w:szCs w:val="21"/>
        </w:rPr>
      </w:pPr>
      <w:r w:rsidDel="00000000" w:rsidR="00000000" w:rsidRPr="00000000">
        <w:rPr>
          <w:rFonts w:ascii="TypestarPro" w:cs="TypestarPro" w:eastAsia="TypestarPro" w:hAnsi="TypestarPro"/>
          <w:sz w:val="21"/>
          <w:szCs w:val="21"/>
          <w:rtl w:val="0"/>
        </w:rPr>
        <w:t xml:space="preserve">3.4.  El Usuario o la Usuaria, explícitamente, está también de acuerdo con la realización de las grabaciones visuales o audiovisuales (incluidas las de las actividades en línea) y su uso para fines de marketing por parte de InBáze: página web, materiales impresos (carteles y similares), facebook así como otras redes sociales.</w:t>
      </w:r>
    </w:p>
    <w:p w:rsidR="00000000" w:rsidDel="00000000" w:rsidP="00000000" w:rsidRDefault="00000000" w:rsidRPr="00000000" w14:paraId="0000001B">
      <w:pPr>
        <w:spacing w:after="113" w:lineRule="auto"/>
        <w:ind w:left="0" w:firstLine="0"/>
        <w:jc w:val="both"/>
        <w:rPr>
          <w:rFonts w:ascii="TypestarPro" w:cs="TypestarPro" w:eastAsia="TypestarPro" w:hAnsi="TypestarPro"/>
          <w:sz w:val="21"/>
          <w:szCs w:val="21"/>
        </w:rPr>
      </w:pPr>
      <w:r w:rsidDel="00000000" w:rsidR="00000000" w:rsidRPr="00000000">
        <w:rPr>
          <w:rFonts w:ascii="TypestarPro" w:cs="TypestarPro" w:eastAsia="TypestarPro" w:hAnsi="TypestarPro"/>
          <w:b w:val="1"/>
          <w:sz w:val="21"/>
          <w:szCs w:val="21"/>
          <w:rtl w:val="0"/>
        </w:rPr>
        <w:t xml:space="preserve">          SÍ      NO</w:t>
      </w:r>
      <w:r w:rsidDel="00000000" w:rsidR="00000000" w:rsidRPr="00000000">
        <w:rPr>
          <w:rtl w:val="0"/>
        </w:rPr>
      </w:r>
    </w:p>
    <w:p w:rsidR="00000000" w:rsidDel="00000000" w:rsidP="00000000" w:rsidRDefault="00000000" w:rsidRPr="00000000" w14:paraId="0000001C">
      <w:pPr>
        <w:spacing w:after="113" w:lineRule="auto"/>
        <w:ind w:left="555" w:hanging="555"/>
        <w:jc w:val="both"/>
        <w:rPr>
          <w:rFonts w:ascii="TypestarPro" w:cs="TypestarPro" w:eastAsia="TypestarPro" w:hAnsi="TypestarPro"/>
          <w:sz w:val="21"/>
          <w:szCs w:val="21"/>
        </w:rPr>
      </w:pPr>
      <w:r w:rsidDel="00000000" w:rsidR="00000000" w:rsidRPr="00000000">
        <w:rPr>
          <w:rFonts w:ascii="TypestarPro" w:cs="TypestarPro" w:eastAsia="TypestarPro" w:hAnsi="TypestarPro"/>
          <w:sz w:val="21"/>
          <w:szCs w:val="21"/>
          <w:rtl w:val="0"/>
        </w:rPr>
        <w:t xml:space="preserve">3.5.  </w:t>
      </w:r>
      <w:r w:rsidDel="00000000" w:rsidR="00000000" w:rsidRPr="00000000">
        <w:rPr>
          <w:rFonts w:ascii="TypestarPro" w:cs="TypestarPro" w:eastAsia="TypestarPro" w:hAnsi="TypestarPro"/>
          <w:sz w:val="21"/>
          <w:szCs w:val="21"/>
          <w:rtl w:val="0"/>
        </w:rPr>
        <w:t xml:space="preserve">Con su firma el Usuario o la Ssuaria está de acuerdo también con el tratamiento de datos sensibles relacionados con su estado de salud. Tratamos estos datos con el propósito de proteger la salud y garantizar la seguridad (necesitamos estar preparados/as en caso de complicaciones relacionadas con la salud durante el transcurso de las actividades de tiempo libre). Estos datos se guardarán junto con los demás durante un período de 10 años, pero en base a una solicitud, se pueden borrar en cualquier momento tras haber terminado las actividades de InBáze o, incluso, antes (por ejemplo, enviando un email con su solicitud a la dirección info@inbaze.cz.</w:t>
      </w:r>
    </w:p>
    <w:p w:rsidR="00000000" w:rsidDel="00000000" w:rsidP="00000000" w:rsidRDefault="00000000" w:rsidRPr="00000000" w14:paraId="0000001D">
      <w:pPr>
        <w:spacing w:after="113" w:lineRule="auto"/>
        <w:ind w:left="555" w:hanging="555"/>
        <w:jc w:val="both"/>
        <w:rPr>
          <w:rFonts w:ascii="TypestarPro" w:cs="TypestarPro" w:eastAsia="TypestarPro" w:hAnsi="TypestarPro"/>
          <w:color w:val="0563c1"/>
          <w:sz w:val="21"/>
          <w:szCs w:val="21"/>
          <w:u w:val="single"/>
        </w:rPr>
      </w:pPr>
      <w:r w:rsidDel="00000000" w:rsidR="00000000" w:rsidRPr="00000000">
        <w:rPr>
          <w:rFonts w:ascii="TypestarPro" w:cs="TypestarPro" w:eastAsia="TypestarPro" w:hAnsi="TypestarPro"/>
          <w:color w:val="0563c1"/>
          <w:sz w:val="21"/>
          <w:szCs w:val="21"/>
          <w:u w:val="single"/>
          <w:rtl w:val="0"/>
        </w:rPr>
        <w:t xml:space="preserve">        </w:t>
      </w:r>
    </w:p>
    <w:p w:rsidR="00000000" w:rsidDel="00000000" w:rsidP="00000000" w:rsidRDefault="00000000" w:rsidRPr="00000000" w14:paraId="0000001E">
      <w:pPr>
        <w:spacing w:after="113" w:lineRule="auto"/>
        <w:ind w:left="555" w:hanging="555"/>
        <w:jc w:val="both"/>
        <w:rPr>
          <w:rFonts w:ascii="TypestarPro" w:cs="TypestarPro" w:eastAsia="TypestarPro" w:hAnsi="TypestarPro"/>
          <w:sz w:val="21"/>
          <w:szCs w:val="21"/>
        </w:rPr>
      </w:pPr>
      <w:r w:rsidDel="00000000" w:rsidR="00000000" w:rsidRPr="00000000">
        <w:rPr>
          <w:rFonts w:ascii="TypestarPro" w:cs="TypestarPro" w:eastAsia="TypestarPro" w:hAnsi="TypestarPro"/>
          <w:b w:val="1"/>
          <w:sz w:val="21"/>
          <w:szCs w:val="21"/>
          <w:rtl w:val="0"/>
        </w:rPr>
        <w:t xml:space="preserve">3.6.</w:t>
      </w:r>
      <w:r w:rsidDel="00000000" w:rsidR="00000000" w:rsidRPr="00000000">
        <w:rPr>
          <w:rFonts w:ascii="TypestarPro" w:cs="TypestarPro" w:eastAsia="TypestarPro" w:hAnsi="TypestarPro"/>
          <w:sz w:val="21"/>
          <w:szCs w:val="21"/>
          <w:rtl w:val="0"/>
        </w:rPr>
        <w:t xml:space="preserve">  InBáze puede permitirles el acceso a los datos personales del Usuario o de la Usuaria a los garantes de los programas, en los cuales participa (los garantes pueden ser: los fondos de la Unión Europea, el Ministerio de Trabajo y de Asuntos Sociales, el Ministerio de Educación, de Juventud y de Deporte, el Ayuntamiento de la ciudad de Praga). Los garantes tienen derecho a acceder a los datos personales del Usuario o de la Usuaria. Encontrarán en la página web de InBáze la lista de los garantes actuales: https://inbaze.cz/darci-a-partneri/</w:t>
      </w:r>
    </w:p>
    <w:p w:rsidR="00000000" w:rsidDel="00000000" w:rsidP="00000000" w:rsidRDefault="00000000" w:rsidRPr="00000000" w14:paraId="0000001F">
      <w:pPr>
        <w:spacing w:after="113" w:lineRule="auto"/>
        <w:ind w:left="0" w:firstLine="0"/>
        <w:jc w:val="both"/>
        <w:rPr>
          <w:rFonts w:ascii="TypestarPro" w:cs="TypestarPro" w:eastAsia="TypestarPro" w:hAnsi="TypestarPro"/>
          <w:sz w:val="21"/>
          <w:szCs w:val="21"/>
        </w:rPr>
      </w:pPr>
      <w:r w:rsidDel="00000000" w:rsidR="00000000" w:rsidRPr="00000000">
        <w:rPr>
          <w:rtl w:val="0"/>
        </w:rPr>
      </w:r>
    </w:p>
    <w:p w:rsidR="00000000" w:rsidDel="00000000" w:rsidP="00000000" w:rsidRDefault="00000000" w:rsidRPr="00000000" w14:paraId="00000020">
      <w:pPr>
        <w:spacing w:after="113" w:lineRule="auto"/>
        <w:ind w:left="555" w:hanging="555"/>
        <w:jc w:val="both"/>
        <w:rPr>
          <w:rFonts w:ascii="TypestarPro" w:cs="TypestarPro" w:eastAsia="TypestarPro" w:hAnsi="TypestarPro"/>
          <w:sz w:val="21"/>
          <w:szCs w:val="21"/>
        </w:rPr>
      </w:pPr>
      <w:r w:rsidDel="00000000" w:rsidR="00000000" w:rsidRPr="00000000">
        <w:rPr>
          <w:rFonts w:ascii="TypestarPro" w:cs="TypestarPro" w:eastAsia="TypestarPro" w:hAnsi="TypestarPro"/>
          <w:b w:val="1"/>
          <w:sz w:val="21"/>
          <w:szCs w:val="21"/>
          <w:rtl w:val="0"/>
        </w:rPr>
        <w:t xml:space="preserve">3.7.</w:t>
      </w:r>
      <w:r w:rsidDel="00000000" w:rsidR="00000000" w:rsidRPr="00000000">
        <w:rPr>
          <w:rFonts w:ascii="TypestarPro" w:cs="TypestarPro" w:eastAsia="TypestarPro" w:hAnsi="TypestarPro"/>
          <w:sz w:val="21"/>
          <w:szCs w:val="21"/>
          <w:rtl w:val="0"/>
        </w:rPr>
        <w:tab/>
        <w:t xml:space="preserve"> Es posible tratar los datos personales, incluidos los datos sensibles en relación al artículo 9 de la RGPD, durante el período de duración de la relación contractual y, en consecuencia, durante el tiempo imprescindible con el objetivo de cumplir las normas del Proyecto por un período de 10 años. </w:t>
      </w:r>
    </w:p>
    <w:p w:rsidR="00000000" w:rsidDel="00000000" w:rsidP="00000000" w:rsidRDefault="00000000" w:rsidRPr="00000000" w14:paraId="00000021">
      <w:pPr>
        <w:spacing w:after="113" w:lineRule="auto"/>
        <w:ind w:left="555" w:hanging="555"/>
        <w:jc w:val="both"/>
        <w:rPr>
          <w:rFonts w:ascii="TypestarPro" w:cs="TypestarPro" w:eastAsia="TypestarPro" w:hAnsi="TypestarPro"/>
          <w:sz w:val="21"/>
          <w:szCs w:val="21"/>
        </w:rPr>
      </w:pPr>
      <w:r w:rsidDel="00000000" w:rsidR="00000000" w:rsidRPr="00000000">
        <w:rPr>
          <w:rFonts w:ascii="TypestarPro" w:cs="TypestarPro" w:eastAsia="TypestarPro" w:hAnsi="TypestarPro"/>
          <w:b w:val="1"/>
          <w:sz w:val="21"/>
          <w:szCs w:val="21"/>
          <w:rtl w:val="0"/>
        </w:rPr>
        <w:t xml:space="preserve">3.8.</w:t>
      </w:r>
      <w:r w:rsidDel="00000000" w:rsidR="00000000" w:rsidRPr="00000000">
        <w:rPr>
          <w:rFonts w:ascii="TypestarPro" w:cs="TypestarPro" w:eastAsia="TypestarPro" w:hAnsi="TypestarPro"/>
          <w:sz w:val="21"/>
          <w:szCs w:val="21"/>
          <w:rtl w:val="0"/>
        </w:rPr>
        <w:tab/>
        <w:t xml:space="preserve">El Usuario o la Usuaria está autorizado/a a:</w:t>
      </w:r>
    </w:p>
    <w:p w:rsidR="00000000" w:rsidDel="00000000" w:rsidP="00000000" w:rsidRDefault="00000000" w:rsidRPr="00000000" w14:paraId="00000022">
      <w:pPr>
        <w:spacing w:after="113" w:lineRule="auto"/>
        <w:ind w:left="555" w:firstLine="0"/>
        <w:rPr>
          <w:rFonts w:ascii="TypestarPro" w:cs="TypestarPro" w:eastAsia="TypestarPro" w:hAnsi="TypestarPro"/>
          <w:sz w:val="21"/>
          <w:szCs w:val="21"/>
        </w:rPr>
      </w:pPr>
      <w:r w:rsidDel="00000000" w:rsidR="00000000" w:rsidRPr="00000000">
        <w:rPr>
          <w:rFonts w:ascii="TypestarPro" w:cs="TypestarPro" w:eastAsia="TypestarPro" w:hAnsi="TypestarPro"/>
          <w:sz w:val="21"/>
          <w:szCs w:val="21"/>
          <w:rtl w:val="0"/>
        </w:rPr>
        <w:t xml:space="preserve">-  pedir explicaciones a InBáze acerca del tratamiento de los datos personales,</w:t>
      </w:r>
    </w:p>
    <w:p w:rsidR="00000000" w:rsidDel="00000000" w:rsidP="00000000" w:rsidRDefault="00000000" w:rsidRPr="00000000" w14:paraId="00000023">
      <w:pPr>
        <w:spacing w:after="113" w:lineRule="auto"/>
        <w:ind w:left="555" w:firstLine="0"/>
        <w:rPr>
          <w:rFonts w:ascii="TypestarPro" w:cs="TypestarPro" w:eastAsia="TypestarPro" w:hAnsi="TypestarPro"/>
          <w:sz w:val="21"/>
          <w:szCs w:val="21"/>
        </w:rPr>
      </w:pPr>
      <w:r w:rsidDel="00000000" w:rsidR="00000000" w:rsidRPr="00000000">
        <w:rPr>
          <w:rFonts w:ascii="TypestarPro" w:cs="TypestarPro" w:eastAsia="TypestarPro" w:hAnsi="TypestarPro"/>
          <w:sz w:val="21"/>
          <w:szCs w:val="21"/>
          <w:rtl w:val="0"/>
        </w:rPr>
        <w:t xml:space="preserve">- solicitar a InBáze ver la lista actual de garantes,</w:t>
      </w:r>
    </w:p>
    <w:p w:rsidR="00000000" w:rsidDel="00000000" w:rsidP="00000000" w:rsidRDefault="00000000" w:rsidRPr="00000000" w14:paraId="00000024">
      <w:pPr>
        <w:spacing w:after="113" w:lineRule="auto"/>
        <w:ind w:left="555" w:firstLine="0"/>
        <w:rPr>
          <w:rFonts w:ascii="TypestarPro" w:cs="TypestarPro" w:eastAsia="TypestarPro" w:hAnsi="TypestarPro"/>
          <w:sz w:val="21"/>
          <w:szCs w:val="21"/>
        </w:rPr>
      </w:pPr>
      <w:r w:rsidDel="00000000" w:rsidR="00000000" w:rsidRPr="00000000">
        <w:rPr>
          <w:rFonts w:ascii="TypestarPro" w:cs="TypestarPro" w:eastAsia="TypestarPro" w:hAnsi="TypestarPro"/>
          <w:sz w:val="21"/>
          <w:szCs w:val="21"/>
          <w:rtl w:val="0"/>
        </w:rPr>
        <w:t xml:space="preserve">- pedir a InBáze el acceso a los datos personales que InBáze trata</w:t>
      </w:r>
      <w:r w:rsidDel="00000000" w:rsidR="00000000" w:rsidRPr="00000000">
        <w:rPr>
          <w:rFonts w:ascii="Arial" w:cs="Arial" w:eastAsia="Arial" w:hAnsi="Arial"/>
          <w:color w:val="4d5156"/>
          <w:sz w:val="21"/>
          <w:szCs w:val="21"/>
          <w:highlight w:val="white"/>
          <w:rtl w:val="0"/>
        </w:rPr>
        <w:t xml:space="preserve">;</w:t>
      </w:r>
      <w:r w:rsidDel="00000000" w:rsidR="00000000" w:rsidRPr="00000000">
        <w:rPr>
          <w:rFonts w:ascii="TypestarPro" w:cs="TypestarPro" w:eastAsia="TypestarPro" w:hAnsi="TypestarPro"/>
          <w:sz w:val="21"/>
          <w:szCs w:val="21"/>
          <w:rtl w:val="0"/>
        </w:rPr>
        <w:t xml:space="preserve"> solicitar la corrección, bloqueo, liquidación o restricción de dicho tratamiento,</w:t>
      </w:r>
    </w:p>
    <w:p w:rsidR="00000000" w:rsidDel="00000000" w:rsidP="00000000" w:rsidRDefault="00000000" w:rsidRPr="00000000" w14:paraId="00000025">
      <w:pPr>
        <w:spacing w:after="113" w:lineRule="auto"/>
        <w:ind w:left="555" w:firstLine="0"/>
        <w:rPr>
          <w:rFonts w:ascii="TypestarPro" w:cs="TypestarPro" w:eastAsia="TypestarPro" w:hAnsi="TypestarPro"/>
          <w:sz w:val="21"/>
          <w:szCs w:val="21"/>
        </w:rPr>
      </w:pPr>
      <w:r w:rsidDel="00000000" w:rsidR="00000000" w:rsidRPr="00000000">
        <w:rPr>
          <w:rFonts w:ascii="TypestarPro" w:cs="TypestarPro" w:eastAsia="TypestarPro" w:hAnsi="TypestarPro"/>
          <w:sz w:val="21"/>
          <w:szCs w:val="21"/>
          <w:rtl w:val="0"/>
        </w:rPr>
        <w:t xml:space="preserve">-  hacer objeciones contra el tratamiento de datos personales o contra la transmisión de los mismos,</w:t>
      </w:r>
    </w:p>
    <w:p w:rsidR="00000000" w:rsidDel="00000000" w:rsidP="00000000" w:rsidRDefault="00000000" w:rsidRPr="00000000" w14:paraId="00000026">
      <w:pPr>
        <w:spacing w:after="113" w:lineRule="auto"/>
        <w:ind w:left="555" w:firstLine="0"/>
        <w:rPr>
          <w:rFonts w:ascii="TypestarPro" w:cs="TypestarPro" w:eastAsia="TypestarPro" w:hAnsi="TypestarPro"/>
          <w:sz w:val="21"/>
          <w:szCs w:val="21"/>
        </w:rPr>
      </w:pPr>
      <w:r w:rsidDel="00000000" w:rsidR="00000000" w:rsidRPr="00000000">
        <w:rPr>
          <w:rFonts w:ascii="TypestarPro" w:cs="TypestarPro" w:eastAsia="TypestarPro" w:hAnsi="TypestarPro"/>
          <w:sz w:val="21"/>
          <w:szCs w:val="21"/>
          <w:rtl w:val="0"/>
        </w:rPr>
        <w:t xml:space="preserve">-</w:t>
      </w:r>
      <w:r w:rsidDel="00000000" w:rsidR="00000000" w:rsidRPr="00000000">
        <w:rPr>
          <w:rFonts w:ascii="TypestarPro" w:cs="TypestarPro" w:eastAsia="TypestarPro" w:hAnsi="TypestarPro"/>
          <w:sz w:val="21"/>
          <w:szCs w:val="21"/>
          <w:rtl w:val="0"/>
        </w:rPr>
        <w:t xml:space="preserve"> en cualquier momento anular el consentimiento para tratar los datos personales fuera del marco de las obligaciones legales y contractuales y esto, por ejemplo, enviando un email a la dirección </w:t>
      </w:r>
      <w:hyperlink r:id="rId7">
        <w:r w:rsidDel="00000000" w:rsidR="00000000" w:rsidRPr="00000000">
          <w:rPr>
            <w:rFonts w:ascii="TypestarPro" w:cs="TypestarPro" w:eastAsia="TypestarPro" w:hAnsi="TypestarPro"/>
            <w:color w:val="1155cc"/>
            <w:sz w:val="21"/>
            <w:szCs w:val="21"/>
            <w:u w:val="single"/>
            <w:rtl w:val="0"/>
          </w:rPr>
          <w:t xml:space="preserve">info@inbaze.cz</w:t>
        </w:r>
      </w:hyperlink>
      <w:r w:rsidDel="00000000" w:rsidR="00000000" w:rsidRPr="00000000">
        <w:rPr>
          <w:rFonts w:ascii="TypestarPro" w:cs="TypestarPro" w:eastAsia="TypestarPro" w:hAnsi="TypestarPro"/>
          <w:sz w:val="21"/>
          <w:szCs w:val="21"/>
          <w:rtl w:val="0"/>
        </w:rPr>
        <w:t xml:space="preserve"> o por correo postal a InBáze, z.s., Legerová 50, Praha 2,</w:t>
      </w:r>
    </w:p>
    <w:p w:rsidR="00000000" w:rsidDel="00000000" w:rsidP="00000000" w:rsidRDefault="00000000" w:rsidRPr="00000000" w14:paraId="00000027">
      <w:pPr>
        <w:spacing w:after="113" w:lineRule="auto"/>
        <w:ind w:left="555" w:firstLine="0"/>
        <w:rPr>
          <w:rFonts w:ascii="TypestarPro" w:cs="TypestarPro" w:eastAsia="TypestarPro" w:hAnsi="TypestarPro"/>
          <w:sz w:val="21"/>
          <w:szCs w:val="21"/>
        </w:rPr>
      </w:pPr>
      <w:r w:rsidDel="00000000" w:rsidR="00000000" w:rsidRPr="00000000">
        <w:rPr>
          <w:rFonts w:ascii="TypestarPro" w:cs="TypestarPro" w:eastAsia="TypestarPro" w:hAnsi="TypestarPro"/>
          <w:sz w:val="21"/>
          <w:szCs w:val="21"/>
          <w:rtl w:val="0"/>
        </w:rPr>
        <w:t xml:space="preserve">120 00,</w:t>
      </w:r>
    </w:p>
    <w:p w:rsidR="00000000" w:rsidDel="00000000" w:rsidP="00000000" w:rsidRDefault="00000000" w:rsidRPr="00000000" w14:paraId="00000028">
      <w:pPr>
        <w:spacing w:after="113" w:lineRule="auto"/>
        <w:ind w:left="555" w:firstLine="0"/>
        <w:rPr>
          <w:rFonts w:ascii="TypestarPro" w:cs="TypestarPro" w:eastAsia="TypestarPro" w:hAnsi="TypestarPro"/>
          <w:sz w:val="21"/>
          <w:szCs w:val="21"/>
        </w:rPr>
      </w:pPr>
      <w:r w:rsidDel="00000000" w:rsidR="00000000" w:rsidRPr="00000000">
        <w:rPr>
          <w:rFonts w:ascii="TypestarPro" w:cs="TypestarPro" w:eastAsia="TypestarPro" w:hAnsi="TypestarPro"/>
          <w:sz w:val="21"/>
          <w:szCs w:val="21"/>
          <w:rtl w:val="0"/>
        </w:rPr>
        <w:t xml:space="preserve">-  en caso de dudas acerca del cumplimiento de la normativa para tratar los datos personales, presentar una queja contra el tratamiento de dichos datos en InBáze o en la Oficina de Defensa de datos personales.</w:t>
      </w:r>
    </w:p>
    <w:p w:rsidR="00000000" w:rsidDel="00000000" w:rsidP="00000000" w:rsidRDefault="00000000" w:rsidRPr="00000000" w14:paraId="00000029">
      <w:pPr>
        <w:spacing w:after="113" w:lineRule="auto"/>
        <w:ind w:left="0" w:firstLine="0"/>
        <w:rPr>
          <w:rFonts w:ascii="TypestarPro" w:cs="TypestarPro" w:eastAsia="TypestarPro" w:hAnsi="TypestarPro"/>
          <w:sz w:val="21"/>
          <w:szCs w:val="21"/>
        </w:rPr>
      </w:pPr>
      <w:r w:rsidDel="00000000" w:rsidR="00000000" w:rsidRPr="00000000">
        <w:rPr>
          <w:rtl w:val="0"/>
        </w:rPr>
      </w:r>
    </w:p>
    <w:p w:rsidR="00000000" w:rsidDel="00000000" w:rsidP="00000000" w:rsidRDefault="00000000" w:rsidRPr="00000000" w14:paraId="0000002A">
      <w:pPr>
        <w:spacing w:after="113" w:lineRule="auto"/>
        <w:ind w:left="0" w:firstLine="0"/>
        <w:rPr>
          <w:rFonts w:ascii="TypestarPro" w:cs="TypestarPro" w:eastAsia="TypestarPro" w:hAnsi="TypestarPro"/>
          <w:sz w:val="21"/>
          <w:szCs w:val="21"/>
        </w:rPr>
      </w:pPr>
      <w:r w:rsidDel="00000000" w:rsidR="00000000" w:rsidRPr="00000000">
        <w:rPr>
          <w:rtl w:val="0"/>
        </w:rPr>
      </w:r>
    </w:p>
    <w:p w:rsidR="00000000" w:rsidDel="00000000" w:rsidP="00000000" w:rsidRDefault="00000000" w:rsidRPr="00000000" w14:paraId="0000002B">
      <w:pPr>
        <w:spacing w:after="113" w:lineRule="auto"/>
        <w:ind w:left="0" w:firstLine="0"/>
        <w:rPr>
          <w:rFonts w:ascii="TypestarPro" w:cs="TypestarPro" w:eastAsia="TypestarPro" w:hAnsi="TypestarPro"/>
          <w:sz w:val="21"/>
          <w:szCs w:val="21"/>
        </w:rPr>
      </w:pPr>
      <w:r w:rsidDel="00000000" w:rsidR="00000000" w:rsidRPr="00000000">
        <w:rPr>
          <w:rtl w:val="0"/>
        </w:rPr>
      </w:r>
    </w:p>
    <w:p w:rsidR="00000000" w:rsidDel="00000000" w:rsidP="00000000" w:rsidRDefault="00000000" w:rsidRPr="00000000" w14:paraId="0000002C">
      <w:pPr>
        <w:spacing w:after="113" w:lineRule="auto"/>
        <w:ind w:left="0" w:firstLine="0"/>
        <w:rPr>
          <w:rFonts w:ascii="TypestarPro" w:cs="TypestarPro" w:eastAsia="TypestarPro" w:hAnsi="TypestarPro"/>
          <w:sz w:val="21"/>
          <w:szCs w:val="21"/>
        </w:rPr>
      </w:pPr>
      <w:r w:rsidDel="00000000" w:rsidR="00000000" w:rsidRPr="00000000">
        <w:rPr>
          <w:rtl w:val="0"/>
        </w:rPr>
      </w:r>
    </w:p>
    <w:p w:rsidR="00000000" w:rsidDel="00000000" w:rsidP="00000000" w:rsidRDefault="00000000" w:rsidRPr="00000000" w14:paraId="0000002D">
      <w:pPr>
        <w:ind w:left="0" w:firstLine="0"/>
        <w:rPr>
          <w:rFonts w:ascii="TypestarPro" w:cs="TypestarPro" w:eastAsia="TypestarPro" w:hAnsi="TypestarPro"/>
          <w:sz w:val="21"/>
          <w:szCs w:val="21"/>
        </w:rPr>
      </w:pPr>
      <w:r w:rsidDel="00000000" w:rsidR="00000000" w:rsidRPr="00000000">
        <w:rPr>
          <w:rFonts w:ascii="TypestarPro" w:cs="TypestarPro" w:eastAsia="TypestarPro" w:hAnsi="TypestarPro"/>
          <w:sz w:val="21"/>
          <w:szCs w:val="21"/>
          <w:rtl w:val="0"/>
        </w:rPr>
        <w:t xml:space="preserve">  En___________ a día _________     </w:t>
        <w:tab/>
        <w:t xml:space="preserve">                          </w:t>
      </w:r>
    </w:p>
    <w:p w:rsidR="00000000" w:rsidDel="00000000" w:rsidP="00000000" w:rsidRDefault="00000000" w:rsidRPr="00000000" w14:paraId="0000002E">
      <w:pPr>
        <w:ind w:left="0" w:firstLine="0"/>
        <w:rPr>
          <w:rFonts w:ascii="TypestarPro" w:cs="TypestarPro" w:eastAsia="TypestarPro" w:hAnsi="TypestarPro"/>
          <w:sz w:val="21"/>
          <w:szCs w:val="21"/>
        </w:rPr>
      </w:pPr>
      <w:r w:rsidDel="00000000" w:rsidR="00000000" w:rsidRPr="00000000">
        <w:rPr>
          <w:rtl w:val="0"/>
        </w:rPr>
      </w:r>
    </w:p>
    <w:p w:rsidR="00000000" w:rsidDel="00000000" w:rsidP="00000000" w:rsidRDefault="00000000" w:rsidRPr="00000000" w14:paraId="0000002F">
      <w:pPr>
        <w:ind w:left="4320" w:firstLine="720"/>
        <w:rPr>
          <w:rFonts w:ascii="TypestarPro" w:cs="TypestarPro" w:eastAsia="TypestarPro" w:hAnsi="TypestarPro"/>
          <w:sz w:val="21"/>
          <w:szCs w:val="21"/>
        </w:rPr>
      </w:pPr>
      <w:r w:rsidDel="00000000" w:rsidR="00000000" w:rsidRPr="00000000">
        <w:rPr>
          <w:rFonts w:ascii="TypestarPro" w:cs="TypestarPro" w:eastAsia="TypestarPro" w:hAnsi="TypestarPro"/>
          <w:sz w:val="21"/>
          <w:szCs w:val="21"/>
          <w:rtl w:val="0"/>
        </w:rPr>
        <w:t xml:space="preserve">  ___________________________</w:t>
      </w:r>
    </w:p>
    <w:p w:rsidR="00000000" w:rsidDel="00000000" w:rsidP="00000000" w:rsidRDefault="00000000" w:rsidRPr="00000000" w14:paraId="00000030">
      <w:pPr>
        <w:jc w:val="center"/>
        <w:rPr>
          <w:rFonts w:ascii="TypestarPro" w:cs="TypestarPro" w:eastAsia="TypestarPro" w:hAnsi="TypestarPro"/>
          <w:sz w:val="21"/>
          <w:szCs w:val="21"/>
        </w:rPr>
      </w:pPr>
      <w:r w:rsidDel="00000000" w:rsidR="00000000" w:rsidRPr="00000000">
        <w:rPr>
          <w:rFonts w:ascii="TypestarPro" w:cs="TypestarPro" w:eastAsia="TypestarPro" w:hAnsi="TypestarPro"/>
          <w:sz w:val="21"/>
          <w:szCs w:val="21"/>
          <w:rtl w:val="0"/>
        </w:rPr>
        <w:t xml:space="preserve">                                                                              Firma del Usuario o de la Usuaria</w:t>
      </w:r>
    </w:p>
    <w:p w:rsidR="00000000" w:rsidDel="00000000" w:rsidP="00000000" w:rsidRDefault="00000000" w:rsidRPr="00000000" w14:paraId="00000031">
      <w:pPr>
        <w:jc w:val="right"/>
        <w:rPr>
          <w:rFonts w:ascii="TypestarPro" w:cs="TypestarPro" w:eastAsia="TypestarPro" w:hAnsi="TypestarPro"/>
          <w:sz w:val="21"/>
          <w:szCs w:val="21"/>
        </w:rPr>
      </w:pPr>
      <w:r w:rsidDel="00000000" w:rsidR="00000000" w:rsidRPr="00000000">
        <w:rPr>
          <w:rtl w:val="0"/>
        </w:rPr>
      </w:r>
    </w:p>
    <w:p w:rsidR="00000000" w:rsidDel="00000000" w:rsidP="00000000" w:rsidRDefault="00000000" w:rsidRPr="00000000" w14:paraId="00000032">
      <w:pPr>
        <w:jc w:val="right"/>
        <w:rPr>
          <w:rFonts w:ascii="TypestarPro" w:cs="TypestarPro" w:eastAsia="TypestarPro" w:hAnsi="TypestarPro"/>
          <w:sz w:val="21"/>
          <w:szCs w:val="21"/>
        </w:rPr>
      </w:pPr>
      <w:r w:rsidDel="00000000" w:rsidR="00000000" w:rsidRPr="00000000">
        <w:rPr>
          <w:rtl w:val="0"/>
        </w:rPr>
      </w:r>
    </w:p>
    <w:p w:rsidR="00000000" w:rsidDel="00000000" w:rsidP="00000000" w:rsidRDefault="00000000" w:rsidRPr="00000000" w14:paraId="00000033">
      <w:pPr>
        <w:jc w:val="right"/>
        <w:rPr>
          <w:rFonts w:ascii="TypestarPro" w:cs="TypestarPro" w:eastAsia="TypestarPro" w:hAnsi="TypestarPro"/>
          <w:sz w:val="21"/>
          <w:szCs w:val="21"/>
        </w:rPr>
      </w:pPr>
      <w:r w:rsidDel="00000000" w:rsidR="00000000" w:rsidRPr="00000000">
        <w:rPr>
          <w:rtl w:val="0"/>
        </w:rPr>
      </w:r>
    </w:p>
    <w:p w:rsidR="00000000" w:rsidDel="00000000" w:rsidP="00000000" w:rsidRDefault="00000000" w:rsidRPr="00000000" w14:paraId="00000034">
      <w:pPr>
        <w:jc w:val="center"/>
        <w:rPr>
          <w:sz w:val="21"/>
          <w:szCs w:val="21"/>
        </w:rPr>
      </w:pPr>
      <w:r w:rsidDel="00000000" w:rsidR="00000000" w:rsidRPr="00000000">
        <w:rPr>
          <w:rFonts w:ascii="TypestarPro" w:cs="TypestarPro" w:eastAsia="TypestarPro" w:hAnsi="TypestarPro"/>
          <w:sz w:val="21"/>
          <w:szCs w:val="21"/>
          <w:rtl w:val="0"/>
        </w:rPr>
        <w:t xml:space="preserve">                                                            __________________________________</w:t>
      </w:r>
      <w:r w:rsidDel="00000000" w:rsidR="00000000" w:rsidRPr="00000000">
        <w:rPr>
          <w:rtl w:val="0"/>
        </w:rPr>
      </w:r>
    </w:p>
    <w:p w:rsidR="00000000" w:rsidDel="00000000" w:rsidP="00000000" w:rsidRDefault="00000000" w:rsidRPr="00000000" w14:paraId="00000035">
      <w:pPr>
        <w:jc w:val="right"/>
        <w:rPr>
          <w:sz w:val="21"/>
          <w:szCs w:val="21"/>
        </w:rPr>
      </w:pPr>
      <w:bookmarkStart w:colFirst="0" w:colLast="0" w:name="_heading=h.gjdgxs" w:id="1"/>
      <w:bookmarkEnd w:id="1"/>
      <w:r w:rsidDel="00000000" w:rsidR="00000000" w:rsidRPr="00000000">
        <w:rPr>
          <w:rFonts w:ascii="TypestarPro" w:cs="TypestarPro" w:eastAsia="TypestarPro" w:hAnsi="TypestarPro"/>
          <w:sz w:val="21"/>
          <w:szCs w:val="21"/>
          <w:rtl w:val="0"/>
        </w:rPr>
        <w:t xml:space="preserve">                              Persona de contacto</w:t>
        <w:tab/>
        <w:tab/>
      </w:r>
      <w:r w:rsidDel="00000000" w:rsidR="00000000" w:rsidRPr="00000000">
        <w:rPr>
          <w:rtl w:val="0"/>
        </w:rPr>
      </w:r>
    </w:p>
    <w:sectPr>
      <w:headerReference r:id="rId8" w:type="default"/>
      <w:pgSz w:h="16838" w:w="11906" w:orient="portrait"/>
      <w:pgMar w:bottom="851" w:top="709"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ypestarPro"/>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color w:val="000000"/>
      </w:rPr>
      <w:drawing>
        <wp:inline distB="0" distT="0" distL="0" distR="0">
          <wp:extent cx="5760720" cy="1428534"/>
          <wp:effectExtent b="0" l="0" r="0" t="0"/>
          <wp:docPr descr="C:\Users\Hanka Špačková\Desktop\zahlai to edit.jpg" id="4" name="image1.jpg"/>
          <a:graphic>
            <a:graphicData uri="http://schemas.openxmlformats.org/drawingml/2006/picture">
              <pic:pic>
                <pic:nvPicPr>
                  <pic:cNvPr descr="C:\Users\Hanka Špačková\Desktop\zahlai to edit.jpg" id="0" name="image1.jpg"/>
                  <pic:cNvPicPr preferRelativeResize="0"/>
                </pic:nvPicPr>
                <pic:blipFill>
                  <a:blip r:embed="rId1"/>
                  <a:srcRect b="0" l="0" r="0" t="0"/>
                  <a:stretch>
                    <a:fillRect/>
                  </a:stretch>
                </pic:blipFill>
                <pic:spPr>
                  <a:xfrm>
                    <a:off x="0" y="0"/>
                    <a:ext cx="5760720" cy="142853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7" w:hanging="567"/>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rsid w:val="004D283D"/>
  </w:style>
  <w:style w:type="paragraph" w:styleId="Nadpis1">
    <w:name w:val="heading 1"/>
    <w:basedOn w:val="Normln"/>
    <w:next w:val="Normln"/>
    <w:rsid w:val="001F0408"/>
    <w:pPr>
      <w:keepNext w:val="1"/>
      <w:keepLines w:val="1"/>
      <w:spacing w:after="120" w:before="480"/>
      <w:outlineLvl w:val="0"/>
    </w:pPr>
    <w:rPr>
      <w:b w:val="1"/>
      <w:sz w:val="48"/>
      <w:szCs w:val="48"/>
    </w:rPr>
  </w:style>
  <w:style w:type="paragraph" w:styleId="Nadpis2">
    <w:name w:val="heading 2"/>
    <w:basedOn w:val="Normln"/>
    <w:next w:val="Normln"/>
    <w:rsid w:val="001F0408"/>
    <w:pPr>
      <w:keepNext w:val="1"/>
      <w:keepLines w:val="1"/>
      <w:spacing w:after="80" w:before="360"/>
      <w:outlineLvl w:val="1"/>
    </w:pPr>
    <w:rPr>
      <w:b w:val="1"/>
      <w:sz w:val="36"/>
      <w:szCs w:val="36"/>
    </w:rPr>
  </w:style>
  <w:style w:type="paragraph" w:styleId="Nadpis3">
    <w:name w:val="heading 3"/>
    <w:basedOn w:val="Normln"/>
    <w:next w:val="Normln"/>
    <w:rsid w:val="001F0408"/>
    <w:pPr>
      <w:keepNext w:val="1"/>
      <w:keepLines w:val="1"/>
      <w:spacing w:after="80" w:before="280"/>
      <w:outlineLvl w:val="2"/>
    </w:pPr>
    <w:rPr>
      <w:b w:val="1"/>
      <w:sz w:val="28"/>
      <w:szCs w:val="28"/>
    </w:rPr>
  </w:style>
  <w:style w:type="paragraph" w:styleId="Nadpis4">
    <w:name w:val="heading 4"/>
    <w:basedOn w:val="Normln"/>
    <w:next w:val="Normln"/>
    <w:rsid w:val="001F0408"/>
    <w:pPr>
      <w:keepNext w:val="1"/>
      <w:keepLines w:val="1"/>
      <w:spacing w:after="40" w:before="240"/>
      <w:outlineLvl w:val="3"/>
    </w:pPr>
    <w:rPr>
      <w:b w:val="1"/>
    </w:rPr>
  </w:style>
  <w:style w:type="paragraph" w:styleId="Nadpis5">
    <w:name w:val="heading 5"/>
    <w:basedOn w:val="Normln"/>
    <w:next w:val="Normln"/>
    <w:rsid w:val="001F0408"/>
    <w:pPr>
      <w:keepNext w:val="1"/>
      <w:keepLines w:val="1"/>
      <w:spacing w:after="40" w:before="220"/>
      <w:outlineLvl w:val="4"/>
    </w:pPr>
    <w:rPr>
      <w:b w:val="1"/>
      <w:sz w:val="22"/>
      <w:szCs w:val="22"/>
    </w:rPr>
  </w:style>
  <w:style w:type="paragraph" w:styleId="Nadpis6">
    <w:name w:val="heading 6"/>
    <w:basedOn w:val="Normln"/>
    <w:next w:val="Normln"/>
    <w:rsid w:val="001F0408"/>
    <w:pPr>
      <w:keepNext w:val="1"/>
      <w:keepLines w:val="1"/>
      <w:spacing w:after="40" w:before="200"/>
      <w:outlineLvl w:val="5"/>
    </w:pPr>
    <w:rPr>
      <w:b w:val="1"/>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normal" w:customStyle="1">
    <w:name w:val="normal"/>
    <w:rsid w:val="001F0408"/>
  </w:style>
  <w:style w:type="table" w:styleId="TableNormal" w:customStyle="1">
    <w:name w:val="Table Normal"/>
    <w:rsid w:val="001F0408"/>
    <w:tblPr>
      <w:tblCellMar>
        <w:top w:w="0.0" w:type="dxa"/>
        <w:left w:w="0.0" w:type="dxa"/>
        <w:bottom w:w="0.0" w:type="dxa"/>
        <w:right w:w="0.0" w:type="dxa"/>
      </w:tblCellMar>
    </w:tblPr>
  </w:style>
  <w:style w:type="paragraph" w:styleId="Nzev">
    <w:name w:val="Title"/>
    <w:basedOn w:val="Normln"/>
    <w:next w:val="Normln"/>
    <w:rsid w:val="001F0408"/>
    <w:pPr>
      <w:keepNext w:val="1"/>
      <w:keepLines w:val="1"/>
      <w:spacing w:after="120" w:before="480"/>
    </w:pPr>
    <w:rPr>
      <w:b w:val="1"/>
      <w:sz w:val="72"/>
      <w:szCs w:val="72"/>
    </w:rPr>
  </w:style>
  <w:style w:type="table" w:styleId="TableNormal0" w:customStyle="1">
    <w:name w:val="Table Normal"/>
    <w:rsid w:val="001F0408"/>
    <w:tblPr>
      <w:tblCellMar>
        <w:top w:w="0.0" w:type="dxa"/>
        <w:left w:w="0.0" w:type="dxa"/>
        <w:bottom w:w="0.0" w:type="dxa"/>
        <w:right w:w="0.0" w:type="dxa"/>
      </w:tblCellMar>
    </w:tblPr>
  </w:style>
  <w:style w:type="character" w:styleId="Odkaznakoment">
    <w:name w:val="annotation reference"/>
    <w:basedOn w:val="Standardnpsmoodstavce"/>
    <w:uiPriority w:val="99"/>
    <w:semiHidden w:val="1"/>
    <w:unhideWhenUsed w:val="1"/>
    <w:rsid w:val="004D283D"/>
    <w:rPr>
      <w:sz w:val="16"/>
      <w:szCs w:val="16"/>
    </w:rPr>
  </w:style>
  <w:style w:type="paragraph" w:styleId="Textkomente">
    <w:name w:val="annotation text"/>
    <w:basedOn w:val="Normln"/>
    <w:link w:val="TextkomenteChar"/>
    <w:uiPriority w:val="99"/>
    <w:semiHidden w:val="1"/>
    <w:unhideWhenUsed w:val="1"/>
    <w:rsid w:val="004D283D"/>
    <w:rPr>
      <w:sz w:val="20"/>
      <w:szCs w:val="20"/>
    </w:rPr>
  </w:style>
  <w:style w:type="character" w:styleId="TextkomenteChar" w:customStyle="1">
    <w:name w:val="Text komentáře Char"/>
    <w:basedOn w:val="Standardnpsmoodstavce"/>
    <w:link w:val="Textkomente"/>
    <w:uiPriority w:val="99"/>
    <w:semiHidden w:val="1"/>
    <w:rsid w:val="004D283D"/>
    <w:rPr>
      <w:rFonts w:ascii="Times New Roman" w:cs="Times New Roman" w:eastAsia="Times New Roman" w:hAnsi="Times New Roman"/>
      <w:sz w:val="20"/>
      <w:szCs w:val="20"/>
      <w:lang w:eastAsia="cs-CZ"/>
    </w:rPr>
  </w:style>
  <w:style w:type="paragraph" w:styleId="Textbubliny">
    <w:name w:val="Balloon Text"/>
    <w:basedOn w:val="Normln"/>
    <w:link w:val="TextbublinyChar"/>
    <w:uiPriority w:val="99"/>
    <w:semiHidden w:val="1"/>
    <w:unhideWhenUsed w:val="1"/>
    <w:rsid w:val="004D283D"/>
    <w:rPr>
      <w:rFonts w:ascii="Segoe UI" w:cs="Segoe UI" w:hAnsi="Segoe UI"/>
      <w:sz w:val="18"/>
      <w:szCs w:val="18"/>
    </w:rPr>
  </w:style>
  <w:style w:type="character" w:styleId="TextbublinyChar" w:customStyle="1">
    <w:name w:val="Text bubliny Char"/>
    <w:basedOn w:val="Standardnpsmoodstavce"/>
    <w:link w:val="Textbubliny"/>
    <w:uiPriority w:val="99"/>
    <w:semiHidden w:val="1"/>
    <w:rsid w:val="004D283D"/>
    <w:rPr>
      <w:rFonts w:ascii="Segoe UI" w:cs="Segoe UI" w:eastAsia="Times New Roman" w:hAnsi="Segoe UI"/>
      <w:sz w:val="18"/>
      <w:szCs w:val="18"/>
      <w:lang w:eastAsia="cs-CZ"/>
    </w:rPr>
  </w:style>
  <w:style w:type="paragraph" w:styleId="Normlnweb">
    <w:name w:val="Normal (Web)"/>
    <w:basedOn w:val="Normln"/>
    <w:uiPriority w:val="99"/>
    <w:semiHidden w:val="1"/>
    <w:unhideWhenUsed w:val="1"/>
    <w:rsid w:val="004D283D"/>
    <w:pPr>
      <w:spacing w:after="100" w:afterAutospacing="1" w:before="100" w:beforeAutospacing="1"/>
    </w:pPr>
  </w:style>
  <w:style w:type="paragraph" w:styleId="Pedmtkomente">
    <w:name w:val="annotation subject"/>
    <w:basedOn w:val="Textkomente"/>
    <w:next w:val="Textkomente"/>
    <w:link w:val="PedmtkomenteChar"/>
    <w:uiPriority w:val="99"/>
    <w:semiHidden w:val="1"/>
    <w:unhideWhenUsed w:val="1"/>
    <w:rsid w:val="00FB1600"/>
    <w:rPr>
      <w:b w:val="1"/>
      <w:bCs w:val="1"/>
    </w:rPr>
  </w:style>
  <w:style w:type="character" w:styleId="PedmtkomenteChar" w:customStyle="1">
    <w:name w:val="Předmět komentáře Char"/>
    <w:basedOn w:val="TextkomenteChar"/>
    <w:link w:val="Pedmtkomente"/>
    <w:uiPriority w:val="99"/>
    <w:semiHidden w:val="1"/>
    <w:rsid w:val="00FB1600"/>
    <w:rPr>
      <w:rFonts w:ascii="Times New Roman" w:cs="Times New Roman" w:eastAsia="Times New Roman" w:hAnsi="Times New Roman"/>
      <w:b w:val="1"/>
      <w:bCs w:val="1"/>
      <w:sz w:val="20"/>
      <w:szCs w:val="20"/>
      <w:lang w:eastAsia="cs-CZ"/>
    </w:rPr>
  </w:style>
  <w:style w:type="paragraph" w:styleId="Odstavecseseznamem">
    <w:name w:val="List Paragraph"/>
    <w:basedOn w:val="Normln"/>
    <w:uiPriority w:val="34"/>
    <w:qFormat w:val="1"/>
    <w:rsid w:val="0033371A"/>
    <w:pPr>
      <w:ind w:left="720"/>
      <w:contextualSpacing w:val="1"/>
    </w:pPr>
  </w:style>
  <w:style w:type="character" w:styleId="Hypertextovodkaz">
    <w:name w:val="Hyperlink"/>
    <w:basedOn w:val="Standardnpsmoodstavce"/>
    <w:uiPriority w:val="99"/>
    <w:unhideWhenUsed w:val="1"/>
    <w:rsid w:val="00775A1C"/>
    <w:rPr>
      <w:color w:val="0563c1" w:themeColor="hyperlink"/>
      <w:u w:val="single"/>
    </w:rPr>
  </w:style>
  <w:style w:type="paragraph" w:styleId="Zhlav">
    <w:name w:val="header"/>
    <w:basedOn w:val="Normln"/>
    <w:link w:val="ZhlavChar"/>
    <w:uiPriority w:val="99"/>
    <w:unhideWhenUsed w:val="1"/>
    <w:rsid w:val="00A554E5"/>
    <w:pPr>
      <w:tabs>
        <w:tab w:val="center" w:pos="4536"/>
        <w:tab w:val="right" w:pos="9072"/>
      </w:tabs>
    </w:pPr>
  </w:style>
  <w:style w:type="character" w:styleId="ZhlavChar" w:customStyle="1">
    <w:name w:val="Záhlaví Char"/>
    <w:basedOn w:val="Standardnpsmoodstavce"/>
    <w:link w:val="Zhlav"/>
    <w:uiPriority w:val="99"/>
    <w:rsid w:val="00A554E5"/>
    <w:rPr>
      <w:rFonts w:ascii="Times New Roman" w:cs="Times New Roman" w:eastAsia="Times New Roman" w:hAnsi="Times New Roman"/>
      <w:sz w:val="24"/>
      <w:szCs w:val="24"/>
      <w:lang w:eastAsia="cs-CZ"/>
    </w:rPr>
  </w:style>
  <w:style w:type="paragraph" w:styleId="Zpat">
    <w:name w:val="footer"/>
    <w:basedOn w:val="Normln"/>
    <w:link w:val="ZpatChar"/>
    <w:uiPriority w:val="99"/>
    <w:unhideWhenUsed w:val="1"/>
    <w:rsid w:val="00A554E5"/>
    <w:pPr>
      <w:tabs>
        <w:tab w:val="center" w:pos="4536"/>
        <w:tab w:val="right" w:pos="9072"/>
      </w:tabs>
    </w:pPr>
  </w:style>
  <w:style w:type="character" w:styleId="ZpatChar" w:customStyle="1">
    <w:name w:val="Zápatí Char"/>
    <w:basedOn w:val="Standardnpsmoodstavce"/>
    <w:link w:val="Zpat"/>
    <w:uiPriority w:val="99"/>
    <w:rsid w:val="00A554E5"/>
    <w:rPr>
      <w:rFonts w:ascii="Times New Roman" w:cs="Times New Roman" w:eastAsia="Times New Roman" w:hAnsi="Times New Roman"/>
      <w:sz w:val="24"/>
      <w:szCs w:val="24"/>
      <w:lang w:eastAsia="cs-CZ"/>
    </w:rPr>
  </w:style>
  <w:style w:type="paragraph" w:styleId="Podtitul">
    <w:name w:val="Subtitle"/>
    <w:basedOn w:val="normal"/>
    <w:next w:val="normal"/>
    <w:rsid w:val="001F0408"/>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inbaze.cz"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pjnQAHksdijoMDx/HaL4GC6Ixg==">AMUW2mX1gGg7cAFTzaHFluBFWP2i4GoKWl00phVFOV7EzK+ht9dPQmV60MvM9nNKA0TZMH6hPPshJQKZWmtlkA8Ck8f/mABeAe7tJ5YUx3x9SENNHuhY7AEqq0RZdwnQEqhVPD567GR2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2021-03-15T16:12:00Z</dcterms:created>
  <dc:creator>Vaclav Kleps</dc:creator>
</cp:coreProperties>
</file>