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B" w:rsidRPr="00A76533" w:rsidRDefault="005D61F5">
      <w:pPr>
        <w:spacing w:before="113"/>
        <w:jc w:val="center"/>
        <w:rPr>
          <w:rFonts w:eastAsia="TypestarPro"/>
          <w:b/>
          <w:sz w:val="22"/>
          <w:szCs w:val="22"/>
        </w:rPr>
      </w:pPr>
      <w:r w:rsidRPr="00A76533">
        <w:rPr>
          <w:b/>
          <w:sz w:val="22"/>
          <w:szCs w:val="22"/>
        </w:rPr>
        <w:t xml:space="preserve"> </w:t>
      </w:r>
      <w:r w:rsidRPr="00A76533">
        <w:rPr>
          <w:rFonts w:eastAsia="TypestarPro"/>
          <w:b/>
          <w:sz w:val="22"/>
          <w:szCs w:val="22"/>
        </w:rPr>
        <w:t>Smlouva o zpracování osobních údajů</w:t>
      </w:r>
    </w:p>
    <w:p w:rsidR="00AF662B" w:rsidRPr="00A76533" w:rsidRDefault="00AF662B">
      <w:pPr>
        <w:spacing w:before="113"/>
        <w:jc w:val="center"/>
        <w:rPr>
          <w:rFonts w:eastAsia="TypestarPro"/>
          <w:b/>
          <w:sz w:val="22"/>
          <w:szCs w:val="22"/>
        </w:rPr>
      </w:pPr>
    </w:p>
    <w:p w:rsidR="00AF662B" w:rsidRPr="00A76533" w:rsidRDefault="005D61F5">
      <w:pPr>
        <w:jc w:val="center"/>
        <w:rPr>
          <w:rFonts w:eastAsia="TypestarPro"/>
          <w:b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Článek I.</w:t>
      </w:r>
    </w:p>
    <w:p w:rsidR="00AF662B" w:rsidRPr="00A76533" w:rsidRDefault="005D61F5">
      <w:pPr>
        <w:spacing w:after="227"/>
        <w:jc w:val="center"/>
        <w:rPr>
          <w:rFonts w:eastAsia="TypestarPro"/>
          <w:i/>
          <w:sz w:val="22"/>
          <w:szCs w:val="22"/>
        </w:rPr>
      </w:pPr>
      <w:r w:rsidRPr="00A76533">
        <w:rPr>
          <w:rFonts w:eastAsia="TypestarPro"/>
          <w:i/>
          <w:sz w:val="22"/>
          <w:szCs w:val="22"/>
        </w:rPr>
        <w:t>Smluvní strany</w:t>
      </w:r>
    </w:p>
    <w:p w:rsidR="00AF662B" w:rsidRPr="00A76533" w:rsidRDefault="005D61F5">
      <w:pPr>
        <w:widowControl w:val="0"/>
        <w:numPr>
          <w:ilvl w:val="0"/>
          <w:numId w:val="1"/>
        </w:numPr>
        <w:spacing w:after="170"/>
        <w:rPr>
          <w:rFonts w:eastAsia="TypestarPro"/>
          <w:i/>
          <w:sz w:val="22"/>
          <w:szCs w:val="22"/>
        </w:rPr>
      </w:pPr>
      <w:proofErr w:type="spellStart"/>
      <w:proofErr w:type="gramStart"/>
      <w:r w:rsidRPr="00A76533">
        <w:rPr>
          <w:rFonts w:eastAsia="TypestarPro"/>
          <w:b/>
          <w:sz w:val="22"/>
          <w:szCs w:val="22"/>
        </w:rPr>
        <w:t>InBáze</w:t>
      </w:r>
      <w:proofErr w:type="spellEnd"/>
      <w:r w:rsidRPr="00A76533">
        <w:rPr>
          <w:rFonts w:eastAsia="TypestarPro"/>
          <w:b/>
          <w:sz w:val="22"/>
          <w:szCs w:val="22"/>
        </w:rPr>
        <w:t>, z.s.</w:t>
      </w:r>
      <w:proofErr w:type="gramEnd"/>
      <w:r w:rsidRPr="00A76533">
        <w:rPr>
          <w:rFonts w:eastAsia="TypestarPro"/>
          <w:sz w:val="22"/>
          <w:szCs w:val="22"/>
        </w:rPr>
        <w:br/>
      </w:r>
      <w:proofErr w:type="spellStart"/>
      <w:r w:rsidRPr="00A76533">
        <w:rPr>
          <w:rFonts w:eastAsia="TypestarPro"/>
          <w:sz w:val="22"/>
          <w:szCs w:val="22"/>
        </w:rPr>
        <w:t>Legerova</w:t>
      </w:r>
      <w:proofErr w:type="spellEnd"/>
      <w:r w:rsidRPr="00A76533">
        <w:rPr>
          <w:rFonts w:eastAsia="TypestarPro"/>
          <w:sz w:val="22"/>
          <w:szCs w:val="22"/>
        </w:rPr>
        <w:t xml:space="preserve"> 357/50, 120 00 Praha 2</w:t>
      </w:r>
      <w:r w:rsidRPr="00A76533">
        <w:rPr>
          <w:rFonts w:eastAsia="TypestarPro"/>
          <w:color w:val="000000"/>
          <w:sz w:val="22"/>
          <w:szCs w:val="22"/>
        </w:rPr>
        <w:br/>
        <w:t>Zastoupená: Ing. Alexandrem Zpěvákem, ředitelem</w:t>
      </w:r>
      <w:r w:rsidRPr="00A76533">
        <w:rPr>
          <w:rFonts w:eastAsia="TypestarPro"/>
          <w:i/>
          <w:color w:val="000000"/>
          <w:sz w:val="22"/>
          <w:szCs w:val="22"/>
        </w:rPr>
        <w:br/>
      </w:r>
      <w:r w:rsidRPr="00A76533">
        <w:rPr>
          <w:rFonts w:eastAsia="TypestarPro"/>
          <w:color w:val="000000"/>
          <w:sz w:val="22"/>
          <w:szCs w:val="22"/>
        </w:rPr>
        <w:t>Kontaktní osoba:</w:t>
      </w:r>
      <w:r w:rsidRPr="00A76533">
        <w:rPr>
          <w:rFonts w:eastAsia="TypestarPro"/>
          <w:i/>
          <w:color w:val="000000"/>
          <w:sz w:val="22"/>
          <w:szCs w:val="22"/>
        </w:rPr>
        <w:t xml:space="preserve"> _________________________</w:t>
      </w:r>
    </w:p>
    <w:p w:rsidR="00AF662B" w:rsidRPr="00A76533" w:rsidRDefault="005D61F5">
      <w:pPr>
        <w:widowControl w:val="0"/>
        <w:spacing w:after="170"/>
        <w:ind w:firstLine="567"/>
        <w:rPr>
          <w:rFonts w:eastAsia="TypestarPro"/>
          <w:i/>
          <w:sz w:val="22"/>
          <w:szCs w:val="22"/>
        </w:rPr>
      </w:pPr>
      <w:bookmarkStart w:id="0" w:name="_heading=h.30j0zll" w:colFirst="0" w:colLast="0"/>
      <w:bookmarkEnd w:id="0"/>
      <w:r w:rsidRPr="00A76533">
        <w:rPr>
          <w:rFonts w:eastAsia="TypestarPro"/>
          <w:i/>
          <w:sz w:val="22"/>
          <w:szCs w:val="22"/>
        </w:rPr>
        <w:t>(dále jen „</w:t>
      </w:r>
      <w:proofErr w:type="spellStart"/>
      <w:r w:rsidRPr="00A76533">
        <w:rPr>
          <w:rFonts w:eastAsia="TypestarPro"/>
          <w:i/>
          <w:sz w:val="22"/>
          <w:szCs w:val="22"/>
        </w:rPr>
        <w:t>InBáze</w:t>
      </w:r>
      <w:proofErr w:type="spellEnd"/>
      <w:r w:rsidRPr="00A76533">
        <w:rPr>
          <w:rFonts w:eastAsia="TypestarPro"/>
          <w:i/>
          <w:sz w:val="22"/>
          <w:szCs w:val="22"/>
        </w:rPr>
        <w:t>“)</w:t>
      </w:r>
    </w:p>
    <w:p w:rsidR="00AF662B" w:rsidRPr="00A76533" w:rsidRDefault="005D61F5">
      <w:pPr>
        <w:widowControl w:val="0"/>
        <w:numPr>
          <w:ilvl w:val="0"/>
          <w:numId w:val="1"/>
        </w:numPr>
        <w:tabs>
          <w:tab w:val="left" w:pos="570"/>
        </w:tabs>
        <w:spacing w:after="20"/>
        <w:ind w:left="573" w:hanging="585"/>
        <w:rPr>
          <w:rFonts w:eastAsia="TypestarPro"/>
          <w:i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Jméno a příjmení dítěte: ___________________________</w:t>
      </w:r>
    </w:p>
    <w:p w:rsidR="00AF662B" w:rsidRPr="00A76533" w:rsidRDefault="005D61F5">
      <w:pPr>
        <w:widowControl w:val="0"/>
        <w:spacing w:after="20"/>
        <w:ind w:firstLine="573"/>
        <w:rPr>
          <w:rFonts w:eastAsia="TypestarPro"/>
          <w:b/>
          <w:i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Datum narození dítěte:</w:t>
      </w:r>
      <w:r w:rsidRPr="00A76533">
        <w:rPr>
          <w:rFonts w:eastAsia="TypestarPro"/>
          <w:sz w:val="22"/>
          <w:szCs w:val="22"/>
        </w:rPr>
        <w:t xml:space="preserve"> _________________</w:t>
      </w:r>
      <w:r w:rsidRPr="00A76533">
        <w:rPr>
          <w:rFonts w:eastAsia="TypestarPro"/>
          <w:sz w:val="22"/>
          <w:szCs w:val="22"/>
        </w:rPr>
        <w:br/>
      </w:r>
    </w:p>
    <w:p w:rsidR="00AF662B" w:rsidRPr="00A76533" w:rsidRDefault="005D61F5">
      <w:pPr>
        <w:widowControl w:val="0"/>
        <w:spacing w:after="20"/>
        <w:ind w:left="573"/>
        <w:rPr>
          <w:rFonts w:eastAsia="TypestarPro"/>
          <w:b/>
          <w:i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Jméno a příjmení zákonného zástupce: _________________________</w:t>
      </w:r>
      <w:r w:rsidRPr="00A76533">
        <w:rPr>
          <w:rFonts w:eastAsia="TypestarPro"/>
          <w:sz w:val="22"/>
          <w:szCs w:val="22"/>
        </w:rPr>
        <w:br/>
      </w:r>
      <w:r w:rsidRPr="00A76533">
        <w:rPr>
          <w:rFonts w:eastAsia="TypestarPro"/>
          <w:b/>
          <w:sz w:val="22"/>
          <w:szCs w:val="22"/>
        </w:rPr>
        <w:t>Datum narození zákonného zástupce:</w:t>
      </w:r>
      <w:r w:rsidRPr="00A76533">
        <w:rPr>
          <w:rFonts w:eastAsia="TypestarPro"/>
          <w:sz w:val="22"/>
          <w:szCs w:val="22"/>
        </w:rPr>
        <w:t xml:space="preserve"> _________________</w:t>
      </w:r>
      <w:r w:rsidRPr="00A76533">
        <w:rPr>
          <w:rFonts w:eastAsia="TypestarPro"/>
          <w:sz w:val="22"/>
          <w:szCs w:val="22"/>
        </w:rPr>
        <w:br/>
      </w:r>
      <w:r w:rsidRPr="00A76533">
        <w:rPr>
          <w:rFonts w:eastAsia="TypestarPro"/>
          <w:b/>
          <w:sz w:val="22"/>
          <w:szCs w:val="22"/>
        </w:rPr>
        <w:t>Kontaktní údaje (tel. číslo, email, korespondenční adresa pokud se neshoduje s adresou trvalého bydliště)</w:t>
      </w:r>
      <w:r w:rsidRPr="00A76533">
        <w:rPr>
          <w:rFonts w:eastAsia="TypestarPro"/>
          <w:sz w:val="22"/>
          <w:szCs w:val="22"/>
        </w:rPr>
        <w:t>: _______________________________________</w:t>
      </w:r>
    </w:p>
    <w:p w:rsidR="00AF662B" w:rsidRPr="00A76533" w:rsidRDefault="00AF662B">
      <w:pPr>
        <w:widowControl w:val="0"/>
        <w:spacing w:after="20"/>
        <w:ind w:left="573"/>
        <w:rPr>
          <w:rFonts w:eastAsia="TypestarPro"/>
          <w:b/>
          <w:i/>
          <w:sz w:val="22"/>
          <w:szCs w:val="22"/>
        </w:rPr>
      </w:pPr>
    </w:p>
    <w:p w:rsidR="00AF662B" w:rsidRPr="00A76533" w:rsidRDefault="005D61F5">
      <w:pPr>
        <w:widowControl w:val="0"/>
        <w:spacing w:after="20"/>
        <w:ind w:left="573"/>
        <w:rPr>
          <w:rFonts w:eastAsia="TypestarPro"/>
          <w:b/>
          <w:i/>
          <w:sz w:val="22"/>
          <w:szCs w:val="22"/>
        </w:rPr>
      </w:pPr>
      <w:r w:rsidRPr="00A76533">
        <w:rPr>
          <w:rFonts w:eastAsia="TypestarPro"/>
          <w:i/>
          <w:sz w:val="22"/>
          <w:szCs w:val="22"/>
        </w:rPr>
        <w:t>(dále jen „klient“)</w:t>
      </w:r>
    </w:p>
    <w:p w:rsidR="00AF662B" w:rsidRPr="00A76533" w:rsidRDefault="005D61F5">
      <w:pPr>
        <w:jc w:val="center"/>
        <w:rPr>
          <w:rFonts w:eastAsia="TypestarPro"/>
          <w:b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Článek II.</w:t>
      </w:r>
    </w:p>
    <w:p w:rsidR="00AF662B" w:rsidRPr="00A76533" w:rsidRDefault="005D61F5">
      <w:pPr>
        <w:spacing w:after="227"/>
        <w:jc w:val="center"/>
        <w:rPr>
          <w:rFonts w:eastAsia="TypestarPro"/>
          <w:i/>
          <w:sz w:val="22"/>
          <w:szCs w:val="22"/>
        </w:rPr>
      </w:pPr>
      <w:r w:rsidRPr="00A76533">
        <w:rPr>
          <w:rFonts w:eastAsia="TypestarPro"/>
          <w:i/>
          <w:sz w:val="22"/>
          <w:szCs w:val="22"/>
        </w:rPr>
        <w:t>Předmět smlouvy</w:t>
      </w:r>
    </w:p>
    <w:p w:rsidR="00AF662B" w:rsidRPr="00A76533" w:rsidRDefault="005D61F5">
      <w:pPr>
        <w:tabs>
          <w:tab w:val="left" w:pos="540"/>
        </w:tabs>
        <w:spacing w:after="113"/>
        <w:ind w:left="555" w:hanging="555"/>
        <w:jc w:val="both"/>
        <w:rPr>
          <w:rFonts w:eastAsia="TypestarPro"/>
          <w:b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2.1</w:t>
      </w:r>
      <w:r w:rsidRPr="00A76533">
        <w:rPr>
          <w:rFonts w:eastAsia="TypestarPro"/>
          <w:sz w:val="22"/>
          <w:szCs w:val="22"/>
        </w:rPr>
        <w:tab/>
        <w:t xml:space="preserve">Předmětem smlouvy je úprava práv a povinností při zpracování osobních údajů </w:t>
      </w:r>
      <w:proofErr w:type="spellStart"/>
      <w:r w:rsidRPr="00A76533">
        <w:rPr>
          <w:rFonts w:eastAsia="TypestarPro"/>
          <w:sz w:val="22"/>
          <w:szCs w:val="22"/>
        </w:rPr>
        <w:t>In</w:t>
      </w:r>
      <w:r w:rsidR="00A76533" w:rsidRPr="00A76533">
        <w:rPr>
          <w:rFonts w:eastAsia="TypestarPro"/>
          <w:sz w:val="22"/>
          <w:szCs w:val="22"/>
        </w:rPr>
        <w:t>B</w:t>
      </w:r>
      <w:r w:rsidRPr="00A76533">
        <w:rPr>
          <w:rFonts w:eastAsia="TypestarPro"/>
          <w:sz w:val="22"/>
          <w:szCs w:val="22"/>
        </w:rPr>
        <w:t>áze</w:t>
      </w:r>
      <w:proofErr w:type="spellEnd"/>
      <w:r w:rsidRPr="00A76533">
        <w:rPr>
          <w:rFonts w:eastAsia="TypestarPro"/>
          <w:sz w:val="22"/>
          <w:szCs w:val="22"/>
        </w:rPr>
        <w:t xml:space="preserve"> jako správce osobních údajů na straně jedné a klienta jako subjektu údajů na straně druhé</w:t>
      </w:r>
      <w:r w:rsidRPr="00A76533">
        <w:rPr>
          <w:rFonts w:eastAsia="TypestarPro"/>
          <w:b/>
          <w:sz w:val="22"/>
          <w:szCs w:val="22"/>
        </w:rPr>
        <w:t>.</w:t>
      </w:r>
    </w:p>
    <w:p w:rsidR="00AF662B" w:rsidRPr="00A76533" w:rsidRDefault="005D61F5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eastAsia="TypestarPro"/>
          <w:color w:val="000000"/>
          <w:sz w:val="22"/>
          <w:szCs w:val="22"/>
        </w:rPr>
      </w:pPr>
      <w:r w:rsidRPr="00A76533">
        <w:rPr>
          <w:rFonts w:eastAsia="TypestarPro"/>
          <w:b/>
          <w:color w:val="000000"/>
          <w:sz w:val="22"/>
          <w:szCs w:val="22"/>
        </w:rPr>
        <w:t>2.2</w:t>
      </w:r>
      <w:r w:rsidRPr="00A76533">
        <w:rPr>
          <w:rFonts w:eastAsia="TypestarPro"/>
          <w:b/>
          <w:color w:val="000000"/>
          <w:sz w:val="22"/>
          <w:szCs w:val="22"/>
        </w:rPr>
        <w:tab/>
      </w:r>
      <w:proofErr w:type="spellStart"/>
      <w:r w:rsidRPr="00A76533">
        <w:rPr>
          <w:rFonts w:eastAsia="TypestarPro"/>
          <w:color w:val="000000"/>
          <w:sz w:val="22"/>
          <w:szCs w:val="22"/>
        </w:rPr>
        <w:t>InBáze</w:t>
      </w:r>
      <w:proofErr w:type="spellEnd"/>
      <w:r w:rsidRPr="00A76533">
        <w:rPr>
          <w:rFonts w:eastAsia="TypestarPro"/>
          <w:color w:val="000000"/>
          <w:sz w:val="22"/>
          <w:szCs w:val="22"/>
        </w:rPr>
        <w:t xml:space="preserve"> je spolkem, jehož posláním je pomoc migrantům a jejich rodinám v životě v České republice; tvorba bezpečného a otevřeného prostoru k vzájemnému poznávání a porozumění mezi českými občany a lidmi jiných národností a kultur. Klient je osobou, která se účastní programů realizovaných </w:t>
      </w:r>
      <w:proofErr w:type="spellStart"/>
      <w:r w:rsidRPr="00A76533">
        <w:rPr>
          <w:rFonts w:eastAsia="TypestarPro"/>
          <w:color w:val="000000"/>
          <w:sz w:val="22"/>
          <w:szCs w:val="22"/>
        </w:rPr>
        <w:t>InBází</w:t>
      </w:r>
      <w:proofErr w:type="spellEnd"/>
      <w:r w:rsidRPr="00A76533">
        <w:rPr>
          <w:rFonts w:eastAsia="TypestarPro"/>
          <w:color w:val="000000"/>
          <w:sz w:val="22"/>
          <w:szCs w:val="22"/>
        </w:rPr>
        <w:t>.</w:t>
      </w:r>
    </w:p>
    <w:p w:rsidR="00AF662B" w:rsidRPr="00A76533" w:rsidRDefault="00AF662B">
      <w:pPr>
        <w:spacing w:before="113"/>
        <w:jc w:val="center"/>
        <w:rPr>
          <w:rFonts w:eastAsia="TypestarPro"/>
          <w:b/>
          <w:sz w:val="22"/>
          <w:szCs w:val="22"/>
        </w:rPr>
      </w:pPr>
    </w:p>
    <w:p w:rsidR="00AF662B" w:rsidRPr="00A76533" w:rsidRDefault="005D61F5">
      <w:pPr>
        <w:jc w:val="center"/>
        <w:rPr>
          <w:rFonts w:eastAsia="TypestarPro"/>
          <w:b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>Článek III.</w:t>
      </w:r>
    </w:p>
    <w:p w:rsidR="00AF662B" w:rsidRPr="00A76533" w:rsidRDefault="005D61F5">
      <w:pPr>
        <w:spacing w:after="227"/>
        <w:jc w:val="center"/>
        <w:rPr>
          <w:rFonts w:eastAsia="TypestarPro"/>
          <w:i/>
          <w:sz w:val="22"/>
          <w:szCs w:val="22"/>
        </w:rPr>
      </w:pPr>
      <w:r w:rsidRPr="00A76533">
        <w:rPr>
          <w:rFonts w:eastAsia="TypestarPro"/>
          <w:i/>
          <w:sz w:val="22"/>
          <w:szCs w:val="22"/>
        </w:rPr>
        <w:t>Nakládání s osobními údaji</w:t>
      </w:r>
    </w:p>
    <w:p w:rsidR="00AF662B" w:rsidRPr="00A76533" w:rsidRDefault="00AF662B">
      <w:pPr>
        <w:spacing w:before="113"/>
        <w:jc w:val="center"/>
        <w:rPr>
          <w:rFonts w:eastAsia="TypestarPro"/>
          <w:sz w:val="22"/>
          <w:szCs w:val="22"/>
        </w:rPr>
      </w:pPr>
    </w:p>
    <w:p w:rsidR="00AF662B" w:rsidRPr="00A76533" w:rsidRDefault="005D61F5">
      <w:pPr>
        <w:spacing w:after="113"/>
        <w:ind w:left="567" w:hanging="567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3.1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je odpovědná za zachování důvěrnosti a integrity poskytnutých osobních údajů v rámci plnění svých smluvních a zákonných povinností a za splnění veškerých svých povinností dle nařízení EU 2016/679 (dále jen „</w:t>
      </w:r>
      <w:r w:rsidRPr="00A76533">
        <w:rPr>
          <w:rFonts w:eastAsia="TypestarPro"/>
          <w:b/>
          <w:sz w:val="22"/>
          <w:szCs w:val="22"/>
        </w:rPr>
        <w:t>GDPR</w:t>
      </w:r>
      <w:r w:rsidRPr="00A76533">
        <w:rPr>
          <w:rFonts w:eastAsia="TypestarPro"/>
          <w:sz w:val="22"/>
          <w:szCs w:val="22"/>
        </w:rPr>
        <w:t>“).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3.2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  <w:t xml:space="preserve">Účelem zpracování osobních údajů je plnění zákonných a smluvních povinností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. 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3.3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  <w:t xml:space="preserve">Klient uděluje </w:t>
      </w:r>
      <w:proofErr w:type="spellStart"/>
      <w:r w:rsidRPr="00A76533">
        <w:rPr>
          <w:rFonts w:eastAsia="TypestarPro"/>
          <w:sz w:val="22"/>
          <w:szCs w:val="22"/>
        </w:rPr>
        <w:t>InBázi</w:t>
      </w:r>
      <w:proofErr w:type="spellEnd"/>
      <w:r w:rsidRPr="00A76533">
        <w:rPr>
          <w:rFonts w:eastAsia="TypestarPro"/>
          <w:sz w:val="22"/>
          <w:szCs w:val="22"/>
        </w:rPr>
        <w:t xml:space="preserve"> souhlas, aby prováděl zpracování všech osobních údajů, které </w:t>
      </w:r>
      <w:proofErr w:type="spellStart"/>
      <w:r w:rsidRPr="00A76533">
        <w:rPr>
          <w:rFonts w:eastAsia="TypestarPro"/>
          <w:sz w:val="22"/>
          <w:szCs w:val="22"/>
        </w:rPr>
        <w:t>InBázi</w:t>
      </w:r>
      <w:proofErr w:type="spellEnd"/>
      <w:r w:rsidRPr="00A76533">
        <w:rPr>
          <w:rFonts w:eastAsia="TypestarPro"/>
          <w:sz w:val="22"/>
          <w:szCs w:val="22"/>
        </w:rPr>
        <w:t xml:space="preserve"> poskytnul. Obrazový, zvukový nebo zvukově-obrazový záznam (např. fotografie) a ostatní osobní údaje, které jsou klientem </w:t>
      </w:r>
      <w:proofErr w:type="spellStart"/>
      <w:r w:rsidRPr="00A76533">
        <w:rPr>
          <w:rFonts w:eastAsia="TypestarPro"/>
          <w:sz w:val="22"/>
          <w:szCs w:val="22"/>
        </w:rPr>
        <w:t>InBázi</w:t>
      </w:r>
      <w:proofErr w:type="spellEnd"/>
      <w:r w:rsidRPr="00A76533">
        <w:rPr>
          <w:rFonts w:eastAsia="TypestarPro"/>
          <w:sz w:val="22"/>
          <w:szCs w:val="22"/>
        </w:rPr>
        <w:t xml:space="preserve"> poskytnuty anebo jsou v průběhu aktivit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pořízeny (a to v rámci aktivit online i offline), je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oprávněna využít pro vnitřní potřeby a požadavky donorů. V rámci online aktivit se jedná o pořízení </w:t>
      </w:r>
      <w:proofErr w:type="spellStart"/>
      <w:r w:rsidRPr="00A76533">
        <w:rPr>
          <w:rFonts w:eastAsia="TypestarPro"/>
          <w:sz w:val="22"/>
          <w:szCs w:val="22"/>
        </w:rPr>
        <w:t>audionahrávky</w:t>
      </w:r>
      <w:proofErr w:type="spellEnd"/>
      <w:r w:rsidRPr="00A76533">
        <w:rPr>
          <w:rFonts w:eastAsia="TypestarPro"/>
          <w:sz w:val="22"/>
          <w:szCs w:val="22"/>
        </w:rPr>
        <w:t xml:space="preserve"> a/nebo </w:t>
      </w:r>
      <w:proofErr w:type="spellStart"/>
      <w:r w:rsidRPr="00A76533">
        <w:rPr>
          <w:rFonts w:eastAsia="TypestarPro"/>
          <w:sz w:val="22"/>
          <w:szCs w:val="22"/>
        </w:rPr>
        <w:t>printscreenů</w:t>
      </w:r>
      <w:proofErr w:type="spellEnd"/>
      <w:r w:rsidRPr="00A76533">
        <w:rPr>
          <w:rFonts w:eastAsia="TypestarPro"/>
          <w:sz w:val="22"/>
          <w:szCs w:val="22"/>
        </w:rPr>
        <w:t xml:space="preserve"> obrazovky z aktivity jako prokazatelného důkazu realizace aktivit pro potřeby donorů.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lastRenderedPageBreak/>
        <w:t xml:space="preserve">3.4. Klient výslovně souhlasí též se zachycením své podoby ve formě obrazového nebo zvukově-obrazového záznamu (z prezenčních i online aktivit) a jeho využití pro marketingové účely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- web, tištěné materiály (plakáty apod.), </w:t>
      </w:r>
      <w:proofErr w:type="spellStart"/>
      <w:r w:rsidRPr="00A76533">
        <w:rPr>
          <w:rFonts w:eastAsia="TypestarPro"/>
          <w:sz w:val="22"/>
          <w:szCs w:val="22"/>
        </w:rPr>
        <w:t>facebook</w:t>
      </w:r>
      <w:proofErr w:type="spellEnd"/>
      <w:r w:rsidRPr="00A76533">
        <w:rPr>
          <w:rFonts w:eastAsia="TypestarPro"/>
          <w:sz w:val="22"/>
          <w:szCs w:val="22"/>
        </w:rPr>
        <w:t xml:space="preserve"> či jiné sociální sítě.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A76533">
        <w:rPr>
          <w:rFonts w:eastAsia="TypestarPro"/>
          <w:b/>
          <w:sz w:val="22"/>
          <w:szCs w:val="22"/>
        </w:rPr>
        <w:tab/>
        <w:t>ANO</w:t>
      </w:r>
      <w:r w:rsidRPr="00A76533">
        <w:rPr>
          <w:rFonts w:eastAsia="TypestarPro"/>
          <w:b/>
          <w:sz w:val="22"/>
          <w:szCs w:val="22"/>
        </w:rPr>
        <w:tab/>
        <w:t>NE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3.5.  Klient podpisem smlouvy souhlasí také se zpracováním citlivých údajů týkajících se zdravotního stavu nezletilého účastníka. Tyto údaje zpracováváme za účelem ochrany zdraví dětí a zajištění jejich bezpečnosti (v průběhu konání volnočasových aktivit potřebujeme být připraveni na případné zdravotní komplikace). Tyto údaje budou uchovávány spolu s ostatními údaji po dobu 10 let, ale mohou být na žádost vymazány kdykoliv po ukončení účasti dítěte na aktivitách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i dříve (například zasláním emailu se žádostí na adresu </w:t>
      </w:r>
      <w:hyperlink r:id="rId8">
        <w:r w:rsidRPr="00A76533">
          <w:rPr>
            <w:rFonts w:eastAsia="TypestarPro"/>
            <w:color w:val="0563C1"/>
            <w:sz w:val="22"/>
            <w:szCs w:val="22"/>
            <w:u w:val="single"/>
          </w:rPr>
          <w:t>info@inbaze.cz</w:t>
        </w:r>
      </w:hyperlink>
      <w:r w:rsidRPr="00A76533">
        <w:rPr>
          <w:rFonts w:eastAsia="TypestarPro"/>
          <w:color w:val="0563C1"/>
          <w:sz w:val="22"/>
          <w:szCs w:val="22"/>
          <w:u w:val="single"/>
        </w:rPr>
        <w:t>).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3.6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  <w:t xml:space="preserve">Osobní údaje Klienta mohou být </w:t>
      </w:r>
      <w:proofErr w:type="spellStart"/>
      <w:r w:rsidRPr="00A76533">
        <w:rPr>
          <w:rFonts w:eastAsia="TypestarPro"/>
          <w:sz w:val="22"/>
          <w:szCs w:val="22"/>
        </w:rPr>
        <w:t>InBází</w:t>
      </w:r>
      <w:proofErr w:type="spellEnd"/>
      <w:r w:rsidRPr="00A76533">
        <w:rPr>
          <w:rFonts w:eastAsia="TypestarPro"/>
          <w:sz w:val="22"/>
          <w:szCs w:val="22"/>
        </w:rPr>
        <w:t xml:space="preserve"> zpřístupněny donorům programů, kterých se děti účastní (donoři mohou být: fondy Evropské Unie, Ministerstvo práce a sociálních věcí, Ministerstvo školství, mládeže a tělovýchovy, Magistrát hlavního města Prahy). Donoři mají právo zjednat si přístup k osobním údajům Klienta. </w:t>
      </w:r>
      <w:r w:rsidRPr="00A76533">
        <w:rPr>
          <w:rFonts w:eastAsia="Arial"/>
          <w:color w:val="222222"/>
          <w:sz w:val="22"/>
          <w:szCs w:val="22"/>
          <w:highlight w:val="white"/>
        </w:rPr>
        <w:t xml:space="preserve">Aktuální přehled donorů naleznete na webu </w:t>
      </w:r>
      <w:proofErr w:type="spellStart"/>
      <w:r w:rsidRPr="00A76533">
        <w:rPr>
          <w:rFonts w:eastAsia="Arial"/>
          <w:color w:val="222222"/>
          <w:sz w:val="22"/>
          <w:szCs w:val="22"/>
          <w:highlight w:val="white"/>
        </w:rPr>
        <w:t>InBáze</w:t>
      </w:r>
      <w:proofErr w:type="spellEnd"/>
      <w:r w:rsidRPr="00A76533">
        <w:rPr>
          <w:rFonts w:eastAsia="Arial"/>
          <w:color w:val="222222"/>
          <w:sz w:val="22"/>
          <w:szCs w:val="22"/>
          <w:highlight w:val="white"/>
        </w:rPr>
        <w:t xml:space="preserve">, zde: </w:t>
      </w:r>
      <w:hyperlink r:id="rId9">
        <w:r w:rsidRPr="00A76533">
          <w:rPr>
            <w:rFonts w:eastAsia="Arial"/>
            <w:color w:val="1155CC"/>
            <w:sz w:val="22"/>
            <w:szCs w:val="22"/>
            <w:highlight w:val="white"/>
            <w:u w:val="single"/>
          </w:rPr>
          <w:t>https://inbaze.cz/darci-a-partneri/</w:t>
        </w:r>
      </w:hyperlink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3.7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  <w:t>Osobní údaje, včetně citlivých údajů ve smyslu čl. 9 GDPR, je možné zpracovávat po dobu trvání smluvního vztahu a následně v nezbytném rozsahu za účelem splnění pravidel Projektu po dobu 10 let.</w:t>
      </w:r>
    </w:p>
    <w:p w:rsidR="00AF662B" w:rsidRPr="00A76533" w:rsidRDefault="005D61F5">
      <w:pPr>
        <w:spacing w:after="113"/>
        <w:ind w:left="555" w:hanging="555"/>
        <w:jc w:val="both"/>
        <w:rPr>
          <w:rFonts w:eastAsia="TypestarPro"/>
          <w:sz w:val="22"/>
          <w:szCs w:val="22"/>
        </w:rPr>
      </w:pPr>
      <w:proofErr w:type="gramStart"/>
      <w:r w:rsidRPr="00A76533">
        <w:rPr>
          <w:rFonts w:eastAsia="TypestarPro"/>
          <w:b/>
          <w:sz w:val="22"/>
          <w:szCs w:val="22"/>
        </w:rPr>
        <w:t>3.8</w:t>
      </w:r>
      <w:proofErr w:type="gramEnd"/>
      <w:r w:rsidRPr="00A76533">
        <w:rPr>
          <w:rFonts w:eastAsia="TypestarPro"/>
          <w:b/>
          <w:sz w:val="22"/>
          <w:szCs w:val="22"/>
        </w:rPr>
        <w:t>.</w:t>
      </w:r>
      <w:r w:rsidRPr="00A76533">
        <w:rPr>
          <w:rFonts w:eastAsia="TypestarPro"/>
          <w:sz w:val="22"/>
          <w:szCs w:val="22"/>
        </w:rPr>
        <w:tab/>
        <w:t>Klient je oprávněn: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- požadovat od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vysvětlení ohledně zpracování osobních údajů,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- požadovat od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náhled na aktuální seznam donorů,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- požadovat od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přístup k osobním údajům, které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zpracovává, žádat o jejich opravu, blokování, likvidaci nebo omezení zpracování,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>- vznášet námitky proti zpracování osobních údajů nebo proti přenositelnosti osobních údajů,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>- kdykoli odvolat souhlas se zpracováním osobních údajů nad rámec zákonných a smluvních povinností a to například zasláním e</w:t>
      </w:r>
      <w:r w:rsidR="008D09D4">
        <w:rPr>
          <w:rFonts w:eastAsia="TypestarPro"/>
          <w:sz w:val="22"/>
          <w:szCs w:val="22"/>
        </w:rPr>
        <w:t>-</w:t>
      </w:r>
      <w:r w:rsidRPr="00A76533">
        <w:rPr>
          <w:rFonts w:eastAsia="TypestarPro"/>
          <w:sz w:val="22"/>
          <w:szCs w:val="22"/>
        </w:rPr>
        <w:t xml:space="preserve">mailu na adresu </w:t>
      </w:r>
      <w:hyperlink r:id="rId10">
        <w:r w:rsidRPr="00A76533">
          <w:rPr>
            <w:rFonts w:eastAsia="TypestarPro"/>
            <w:color w:val="0563C1"/>
            <w:sz w:val="22"/>
            <w:szCs w:val="22"/>
            <w:u w:val="single"/>
          </w:rPr>
          <w:t>info@inbaze.cz</w:t>
        </w:r>
      </w:hyperlink>
      <w:r w:rsidRPr="00A76533">
        <w:rPr>
          <w:rFonts w:eastAsia="TypestarPro"/>
          <w:sz w:val="22"/>
          <w:szCs w:val="22"/>
        </w:rPr>
        <w:t xml:space="preserve">  nebo poštou na adresu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, z. </w:t>
      </w:r>
      <w:proofErr w:type="gramStart"/>
      <w:r w:rsidRPr="00A76533">
        <w:rPr>
          <w:rFonts w:eastAsia="TypestarPro"/>
          <w:sz w:val="22"/>
          <w:szCs w:val="22"/>
        </w:rPr>
        <w:t>s.</w:t>
      </w:r>
      <w:proofErr w:type="gramEnd"/>
      <w:r w:rsidRPr="00A76533">
        <w:rPr>
          <w:rFonts w:eastAsia="TypestarPro"/>
          <w:sz w:val="22"/>
          <w:szCs w:val="22"/>
        </w:rPr>
        <w:t xml:space="preserve">, </w:t>
      </w:r>
      <w:hyperlink r:id="rId11">
        <w:proofErr w:type="spellStart"/>
        <w:r w:rsidRPr="00A76533">
          <w:rPr>
            <w:rFonts w:eastAsia="TypestarPro"/>
            <w:sz w:val="22"/>
            <w:szCs w:val="22"/>
          </w:rPr>
          <w:t>Legerova</w:t>
        </w:r>
        <w:proofErr w:type="spellEnd"/>
        <w:r w:rsidRPr="00A76533">
          <w:rPr>
            <w:rFonts w:eastAsia="TypestarPro"/>
            <w:sz w:val="22"/>
            <w:szCs w:val="22"/>
          </w:rPr>
          <w:t xml:space="preserve"> 50, Praha</w:t>
        </w:r>
      </w:hyperlink>
      <w:r w:rsidRPr="00A76533">
        <w:rPr>
          <w:rFonts w:eastAsia="TypestarPro"/>
          <w:sz w:val="22"/>
          <w:szCs w:val="22"/>
        </w:rPr>
        <w:t> 2, 120 00,</w:t>
      </w:r>
    </w:p>
    <w:p w:rsidR="00AF662B" w:rsidRPr="00A76533" w:rsidRDefault="005D61F5">
      <w:pPr>
        <w:spacing w:after="113"/>
        <w:ind w:left="555"/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- v případě pochybností o dodržování pravidel pro zpracování osobních údajů, podat stížnost proti zpracování osobních údajů u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  <w:r w:rsidRPr="00A76533">
        <w:rPr>
          <w:rFonts w:eastAsia="TypestarPro"/>
          <w:sz w:val="22"/>
          <w:szCs w:val="22"/>
        </w:rPr>
        <w:t xml:space="preserve"> nebo u Úřadu pro ochranu osobních údajů.</w:t>
      </w:r>
    </w:p>
    <w:p w:rsidR="00AF662B" w:rsidRPr="00A76533" w:rsidRDefault="00AF662B">
      <w:pPr>
        <w:rPr>
          <w:rFonts w:eastAsia="TypestarPro"/>
          <w:sz w:val="22"/>
          <w:szCs w:val="22"/>
        </w:rPr>
      </w:pPr>
    </w:p>
    <w:p w:rsidR="00A76533" w:rsidRPr="00A76533" w:rsidRDefault="00A76533" w:rsidP="00A76533">
      <w:pPr>
        <w:rPr>
          <w:rFonts w:eastAsia="TypestarPro"/>
          <w:sz w:val="22"/>
          <w:szCs w:val="22"/>
        </w:rPr>
      </w:pPr>
    </w:p>
    <w:p w:rsidR="00A76533" w:rsidRPr="00A76533" w:rsidRDefault="005D61F5" w:rsidP="00A76533">
      <w:pPr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V _________ dne ______________     </w:t>
      </w:r>
    </w:p>
    <w:p w:rsidR="00A76533" w:rsidRPr="00A76533" w:rsidRDefault="00A76533" w:rsidP="00A76533">
      <w:pPr>
        <w:rPr>
          <w:rFonts w:eastAsia="TypestarPro"/>
          <w:sz w:val="22"/>
          <w:szCs w:val="22"/>
        </w:rPr>
      </w:pPr>
    </w:p>
    <w:p w:rsidR="00A76533" w:rsidRPr="00A76533" w:rsidRDefault="005D61F5" w:rsidP="00A76533">
      <w:pPr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  </w:t>
      </w:r>
      <w:r w:rsidRPr="00A76533">
        <w:rPr>
          <w:rFonts w:eastAsia="TypestarPro"/>
          <w:sz w:val="22"/>
          <w:szCs w:val="22"/>
        </w:rPr>
        <w:tab/>
      </w:r>
      <w:r w:rsidR="00A76533" w:rsidRPr="00A76533">
        <w:rPr>
          <w:rFonts w:eastAsia="TypestarPro"/>
          <w:sz w:val="22"/>
          <w:szCs w:val="22"/>
        </w:rPr>
        <w:tab/>
      </w:r>
      <w:r w:rsidR="00A76533" w:rsidRPr="00A76533">
        <w:rPr>
          <w:rFonts w:eastAsia="TypestarPro"/>
          <w:sz w:val="22"/>
          <w:szCs w:val="22"/>
        </w:rPr>
        <w:tab/>
      </w:r>
    </w:p>
    <w:p w:rsidR="00A76533" w:rsidRPr="00A76533" w:rsidRDefault="00A76533" w:rsidP="00A76533">
      <w:pPr>
        <w:rPr>
          <w:rFonts w:eastAsia="TypestarPro"/>
          <w:sz w:val="22"/>
          <w:szCs w:val="22"/>
        </w:rPr>
      </w:pPr>
    </w:p>
    <w:p w:rsidR="00A76533" w:rsidRPr="00A76533" w:rsidRDefault="00A76533" w:rsidP="00A76533">
      <w:pPr>
        <w:rPr>
          <w:rFonts w:eastAsia="TypestarPro"/>
          <w:sz w:val="22"/>
          <w:szCs w:val="22"/>
        </w:rPr>
      </w:pPr>
    </w:p>
    <w:p w:rsidR="00A76533" w:rsidRPr="00A76533" w:rsidRDefault="00A76533" w:rsidP="00A76533">
      <w:pPr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>---------------------------------------------                                   ------------------------------------------------</w:t>
      </w:r>
    </w:p>
    <w:p w:rsidR="00AF662B" w:rsidRPr="00A76533" w:rsidRDefault="00A76533" w:rsidP="00A76533">
      <w:pPr>
        <w:rPr>
          <w:rFonts w:eastAsia="TypestarPro"/>
          <w:sz w:val="22"/>
          <w:szCs w:val="22"/>
        </w:rPr>
      </w:pPr>
      <w:r w:rsidRPr="00A76533">
        <w:rPr>
          <w:rFonts w:eastAsia="TypestarPro"/>
          <w:sz w:val="22"/>
          <w:szCs w:val="22"/>
        </w:rPr>
        <w:t xml:space="preserve">     Podpis z</w:t>
      </w:r>
      <w:r w:rsidR="005D61F5" w:rsidRPr="00A76533">
        <w:rPr>
          <w:rFonts w:eastAsia="TypestarPro"/>
          <w:sz w:val="22"/>
          <w:szCs w:val="22"/>
        </w:rPr>
        <w:t>ákonného zástupce klienta</w:t>
      </w:r>
      <w:r w:rsidRPr="00A76533">
        <w:rPr>
          <w:rFonts w:eastAsia="TypestarPro"/>
          <w:sz w:val="22"/>
          <w:szCs w:val="22"/>
        </w:rPr>
        <w:tab/>
      </w:r>
      <w:r w:rsidRPr="00A76533">
        <w:rPr>
          <w:rFonts w:eastAsia="TypestarPro"/>
          <w:sz w:val="22"/>
          <w:szCs w:val="22"/>
        </w:rPr>
        <w:tab/>
      </w:r>
      <w:r w:rsidRPr="00A76533">
        <w:rPr>
          <w:rFonts w:eastAsia="TypestarPro"/>
          <w:sz w:val="22"/>
          <w:szCs w:val="22"/>
        </w:rPr>
        <w:tab/>
        <w:t xml:space="preserve">Podpis kontaktní osoby </w:t>
      </w:r>
      <w:proofErr w:type="spellStart"/>
      <w:r w:rsidRPr="00A76533">
        <w:rPr>
          <w:rFonts w:eastAsia="TypestarPro"/>
          <w:sz w:val="22"/>
          <w:szCs w:val="22"/>
        </w:rPr>
        <w:t>InBáze</w:t>
      </w:r>
      <w:proofErr w:type="spellEnd"/>
    </w:p>
    <w:p w:rsidR="00AF662B" w:rsidRPr="00A76533" w:rsidRDefault="00AF662B">
      <w:pPr>
        <w:jc w:val="right"/>
        <w:rPr>
          <w:rFonts w:eastAsia="TypestarPro"/>
          <w:sz w:val="22"/>
          <w:szCs w:val="22"/>
        </w:rPr>
      </w:pPr>
    </w:p>
    <w:p w:rsidR="00AF662B" w:rsidRDefault="00AF662B">
      <w:pPr>
        <w:jc w:val="right"/>
        <w:rPr>
          <w:rFonts w:ascii="TypestarPro" w:eastAsia="TypestarPro" w:hAnsi="TypestarPro" w:cs="TypestarPro"/>
          <w:sz w:val="21"/>
          <w:szCs w:val="21"/>
        </w:rPr>
      </w:pPr>
    </w:p>
    <w:p w:rsidR="00AF662B" w:rsidRDefault="00AF662B">
      <w:pPr>
        <w:jc w:val="right"/>
        <w:rPr>
          <w:rFonts w:ascii="TypestarPro" w:eastAsia="TypestarPro" w:hAnsi="TypestarPro" w:cs="TypestarPro"/>
          <w:sz w:val="21"/>
          <w:szCs w:val="21"/>
        </w:rPr>
      </w:pPr>
    </w:p>
    <w:p w:rsidR="00AF662B" w:rsidRDefault="005D61F5">
      <w:pPr>
        <w:jc w:val="right"/>
        <w:rPr>
          <w:sz w:val="21"/>
          <w:szCs w:val="21"/>
        </w:rPr>
      </w:pPr>
      <w:r>
        <w:rPr>
          <w:rFonts w:ascii="TypestarPro" w:eastAsia="TypestarPro" w:hAnsi="TypestarPro" w:cs="TypestarPro"/>
          <w:sz w:val="21"/>
          <w:szCs w:val="21"/>
        </w:rPr>
        <w:tab/>
      </w:r>
    </w:p>
    <w:sectPr w:rsidR="00AF662B" w:rsidSect="00AF662B">
      <w:headerReference w:type="default" r:id="rId12"/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61" w:rsidRDefault="004B0061" w:rsidP="00AF662B">
      <w:r>
        <w:separator/>
      </w:r>
    </w:p>
  </w:endnote>
  <w:endnote w:type="continuationSeparator" w:id="0">
    <w:p w:rsidR="004B0061" w:rsidRDefault="004B0061" w:rsidP="00AF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ypestar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61" w:rsidRDefault="004B0061" w:rsidP="00AF662B">
      <w:r>
        <w:separator/>
      </w:r>
    </w:p>
  </w:footnote>
  <w:footnote w:type="continuationSeparator" w:id="0">
    <w:p w:rsidR="004B0061" w:rsidRDefault="004B0061" w:rsidP="00AF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2B" w:rsidRDefault="005D61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428534"/>
          <wp:effectExtent l="0" t="0" r="0" b="0"/>
          <wp:docPr id="3" name="image1.jpg" descr="C:\Users\Hanka Špačková\Desktop\zahlai to 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ka Špačková\Desktop\zahlai to edi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428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14B0"/>
    <w:multiLevelType w:val="multilevel"/>
    <w:tmpl w:val="2AA67278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2B"/>
    <w:rsid w:val="00040EAB"/>
    <w:rsid w:val="004B0061"/>
    <w:rsid w:val="005D61F5"/>
    <w:rsid w:val="008D09D4"/>
    <w:rsid w:val="00A76533"/>
    <w:rsid w:val="00AF662B"/>
    <w:rsid w:val="00F4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3D"/>
  </w:style>
  <w:style w:type="paragraph" w:styleId="Nadpis1">
    <w:name w:val="heading 1"/>
    <w:basedOn w:val="Normln"/>
    <w:next w:val="Normln"/>
    <w:rsid w:val="004E63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E63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E6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E63AC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4E6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4E63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F662B"/>
  </w:style>
  <w:style w:type="table" w:customStyle="1" w:styleId="TableNormal">
    <w:name w:val="Table Normal"/>
    <w:rsid w:val="00AF6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E63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E63AC"/>
  </w:style>
  <w:style w:type="table" w:customStyle="1" w:styleId="TableNormal0">
    <w:name w:val="Table Normal"/>
    <w:rsid w:val="004E63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E63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D2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8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8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3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283D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6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6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37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5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5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5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al"/>
    <w:next w:val="normal"/>
    <w:rsid w:val="00AF66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baz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Legerova+50,+Praha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nba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baze.cz/darci-a-partn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Y07GGRK+a8aRy46ssLES6rdPw==">AMUW2mUw+7GbSmdxTLF7E0Qx7H2Fv6K81H/kHxY6sGkkSCEenkerm9gqEDtWfT39KllEc20orBYyOnD4yi2ZkiCeWVIuH/SEvwSeg5HZwe+uvEChWvpSMsztojQ3GDwOL15vuoudyZ7B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Kleps</dc:creator>
  <cp:lastModifiedBy>Jana Follprechtová</cp:lastModifiedBy>
  <cp:revision>5</cp:revision>
  <dcterms:created xsi:type="dcterms:W3CDTF">2020-10-21T15:02:00Z</dcterms:created>
  <dcterms:modified xsi:type="dcterms:W3CDTF">2021-03-24T18:04:00Z</dcterms:modified>
</cp:coreProperties>
</file>